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271" w:rsidRPr="004E394F" w:rsidRDefault="00551F0A" w:rsidP="00E14271">
      <w:pPr>
        <w:jc w:val="both"/>
        <w:rPr>
          <w:rFonts w:cs="Calibri"/>
          <w:b/>
          <w:sz w:val="28"/>
          <w:szCs w:val="28"/>
          <w:u w:val="single"/>
          <w:lang w:val="en-US"/>
        </w:rPr>
      </w:pPr>
      <w:bookmarkStart w:id="0" w:name="_GoBack"/>
      <w:bookmarkEnd w:id="0"/>
      <w:r w:rsidRPr="004E394F">
        <w:rPr>
          <w:rFonts w:cs="Calibri"/>
          <w:b/>
          <w:sz w:val="28"/>
          <w:szCs w:val="28"/>
          <w:u w:val="single"/>
          <w:lang w:val="en-US"/>
        </w:rPr>
        <w:t>TABL</w:t>
      </w:r>
      <w:r w:rsidR="004E394F" w:rsidRPr="004E394F">
        <w:rPr>
          <w:rFonts w:cs="Calibri"/>
          <w:b/>
          <w:sz w:val="28"/>
          <w:szCs w:val="28"/>
          <w:u w:val="single"/>
          <w:lang w:val="en-US"/>
        </w:rPr>
        <w:t>E</w:t>
      </w:r>
      <w:r w:rsidRPr="004E394F">
        <w:rPr>
          <w:rFonts w:cs="Calibri"/>
          <w:b/>
          <w:sz w:val="28"/>
          <w:szCs w:val="28"/>
          <w:u w:val="single"/>
          <w:lang w:val="en-US"/>
        </w:rPr>
        <w:t xml:space="preserve"> </w:t>
      </w:r>
      <w:r w:rsidR="00237F27" w:rsidRPr="004E394F">
        <w:rPr>
          <w:rFonts w:cs="Calibri"/>
          <w:b/>
          <w:sz w:val="28"/>
          <w:szCs w:val="28"/>
          <w:u w:val="single"/>
          <w:lang w:val="en-US"/>
        </w:rPr>
        <w:t>4</w:t>
      </w:r>
      <w:r w:rsidR="0019004F" w:rsidRPr="004E394F">
        <w:rPr>
          <w:rFonts w:cs="Calibri"/>
          <w:b/>
          <w:sz w:val="28"/>
          <w:szCs w:val="28"/>
          <w:u w:val="single"/>
          <w:lang w:val="en-US"/>
        </w:rPr>
        <w:t>:</w:t>
      </w:r>
      <w:r w:rsidR="004E394F" w:rsidRPr="004E394F">
        <w:rPr>
          <w:lang w:val="en-US"/>
        </w:rPr>
        <w:t xml:space="preserve"> </w:t>
      </w:r>
      <w:r w:rsidR="004E394F" w:rsidRPr="004E394F">
        <w:rPr>
          <w:rFonts w:cs="Calibri"/>
          <w:b/>
          <w:sz w:val="28"/>
          <w:szCs w:val="28"/>
          <w:u w:val="single"/>
          <w:lang w:val="en-US"/>
        </w:rPr>
        <w:t>DETAIL OF CORRESPONDENCE BETWEEN THE GRADUATE ATTRIBUTES AND LEARNING OUTCOMES OF SUBJECTS OF THE CURRICULUM OF THE PROGRAM.</w:t>
      </w:r>
    </w:p>
    <w:p w:rsidR="00E14271" w:rsidRPr="004E394F" w:rsidRDefault="00E14271" w:rsidP="00E14271">
      <w:pPr>
        <w:jc w:val="both"/>
        <w:rPr>
          <w:rFonts w:cs="Calibri"/>
          <w:u w:val="single"/>
          <w:lang w:val="en-US"/>
        </w:rPr>
      </w:pPr>
    </w:p>
    <w:p w:rsidR="002E7552" w:rsidRPr="004E394F" w:rsidRDefault="004E394F" w:rsidP="0019004F">
      <w:pPr>
        <w:jc w:val="both"/>
        <w:rPr>
          <w:rFonts w:cs="Calibri"/>
          <w:bCs/>
          <w:lang w:val="en-US"/>
        </w:rPr>
      </w:pPr>
      <w:r w:rsidRPr="004E394F">
        <w:rPr>
          <w:rFonts w:cs="Calibri"/>
          <w:bCs/>
          <w:lang w:val="en-US"/>
        </w:rPr>
        <w:t>Based on the findings in Table 1, the program will detail here learning outcomes that achieve the Graduate Attributes are part of the formation of the engineer:</w:t>
      </w:r>
    </w:p>
    <w:p w:rsidR="002E7552" w:rsidRPr="004E394F" w:rsidRDefault="002E7552" w:rsidP="0019004F">
      <w:pPr>
        <w:jc w:val="both"/>
        <w:rPr>
          <w:rFonts w:cs="Calibri"/>
          <w:b/>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19004F" w:rsidRPr="00D12F9E" w:rsidTr="00CD2F42">
        <w:tc>
          <w:tcPr>
            <w:tcW w:w="8978" w:type="dxa"/>
            <w:gridSpan w:val="2"/>
            <w:shd w:val="clear" w:color="auto" w:fill="DEEAF6"/>
          </w:tcPr>
          <w:p w:rsidR="0019004F" w:rsidRPr="004E394F" w:rsidRDefault="004E394F" w:rsidP="002C100E">
            <w:pPr>
              <w:pStyle w:val="Listavistosa-nfasis11"/>
              <w:numPr>
                <w:ilvl w:val="0"/>
                <w:numId w:val="8"/>
              </w:numPr>
              <w:autoSpaceDE w:val="0"/>
              <w:autoSpaceDN w:val="0"/>
              <w:adjustRightInd w:val="0"/>
              <w:spacing w:after="0" w:line="240" w:lineRule="auto"/>
              <w:rPr>
                <w:rFonts w:cs="Calibri"/>
                <w:b/>
                <w:bCs/>
                <w:color w:val="000000"/>
                <w:lang w:val="en-US"/>
              </w:rPr>
            </w:pPr>
            <w:r w:rsidRPr="009878F1">
              <w:rPr>
                <w:rFonts w:asciiTheme="minorHAnsi" w:hAnsiTheme="minorHAnsi" w:cstheme="minorHAnsi"/>
                <w:b/>
                <w:bCs/>
                <w:color w:val="000000"/>
                <w:lang w:val="en-US"/>
              </w:rPr>
              <w:t>Engineering Knowledge:</w:t>
            </w:r>
          </w:p>
          <w:p w:rsidR="0019004F" w:rsidRPr="004E394F" w:rsidRDefault="0019004F" w:rsidP="004E394F">
            <w:pPr>
              <w:jc w:val="both"/>
              <w:rPr>
                <w:rFonts w:cs="Calibri"/>
                <w:b/>
                <w:lang w:val="en-US"/>
              </w:rPr>
            </w:pPr>
            <w:r w:rsidRPr="004E394F">
              <w:rPr>
                <w:rFonts w:cs="Calibri"/>
                <w:b/>
                <w:bCs/>
                <w:color w:val="000000"/>
                <w:lang w:val="en-US"/>
              </w:rPr>
              <w:t xml:space="preserve">WA1: </w:t>
            </w:r>
            <w:r w:rsidR="004E394F" w:rsidRPr="009878F1">
              <w:rPr>
                <w:rFonts w:asciiTheme="minorHAnsi" w:hAnsiTheme="minorHAnsi" w:cstheme="minorHAnsi"/>
                <w:color w:val="000000"/>
                <w:lang w:val="en-US"/>
              </w:rPr>
              <w:t>Apply knowledge of mathematics, natural science, engineering fundamentals and an engineering specialization as specified in WK1 to WK4 respectively to the solution of complex engineering problems.</w:t>
            </w:r>
          </w:p>
        </w:tc>
      </w:tr>
      <w:tr w:rsidR="00DD0371" w:rsidRPr="00D12F9E" w:rsidTr="002C100E">
        <w:tc>
          <w:tcPr>
            <w:tcW w:w="4489" w:type="dxa"/>
            <w:shd w:val="clear" w:color="auto" w:fill="auto"/>
          </w:tcPr>
          <w:p w:rsidR="00DD0371" w:rsidRPr="004E394F" w:rsidRDefault="004E394F" w:rsidP="00DD0371">
            <w:pPr>
              <w:rPr>
                <w:rFonts w:cs="Calibri"/>
                <w:i/>
                <w:sz w:val="18"/>
                <w:lang w:val="en-US"/>
              </w:rPr>
            </w:pPr>
            <w:r w:rsidRPr="004E394F">
              <w:rPr>
                <w:rFonts w:cs="Calibri"/>
                <w:i/>
                <w:sz w:val="18"/>
                <w:lang w:val="en-US"/>
              </w:rPr>
              <w:t>The learning process should allow graduates to demonstrate:</w:t>
            </w:r>
          </w:p>
        </w:tc>
        <w:tc>
          <w:tcPr>
            <w:tcW w:w="4489" w:type="dxa"/>
            <w:shd w:val="clear" w:color="auto" w:fill="auto"/>
          </w:tcPr>
          <w:p w:rsidR="00DD0371" w:rsidRPr="004E394F" w:rsidRDefault="004E394F" w:rsidP="004E394F">
            <w:pPr>
              <w:jc w:val="both"/>
              <w:rPr>
                <w:rFonts w:cs="Calibri"/>
                <w:b/>
                <w:i/>
                <w:sz w:val="18"/>
                <w:lang w:val="en-US"/>
              </w:rPr>
            </w:pPr>
            <w:r>
              <w:rPr>
                <w:rFonts w:cs="Calibri"/>
                <w:b/>
                <w:i/>
                <w:sz w:val="18"/>
                <w:lang w:val="en-US"/>
              </w:rPr>
              <w:t>Explain</w:t>
            </w:r>
            <w:r w:rsidRPr="004E394F">
              <w:rPr>
                <w:rFonts w:cs="Calibri"/>
                <w:b/>
                <w:i/>
                <w:sz w:val="18"/>
                <w:lang w:val="en-US"/>
              </w:rPr>
              <w:t xml:space="preserve">/detail the competencies or learning outcomes of the subjects of the </w:t>
            </w:r>
            <w:r>
              <w:rPr>
                <w:rFonts w:cs="Calibri"/>
                <w:b/>
                <w:i/>
                <w:sz w:val="18"/>
                <w:lang w:val="en-US"/>
              </w:rPr>
              <w:t>curriculum</w:t>
            </w:r>
            <w:r w:rsidRPr="004E394F">
              <w:rPr>
                <w:rFonts w:cs="Calibri"/>
                <w:b/>
                <w:i/>
                <w:sz w:val="18"/>
                <w:lang w:val="en-US"/>
              </w:rPr>
              <w:t xml:space="preserve"> that are oriented towards achieving the results indicated for this attribute.</w:t>
            </w:r>
          </w:p>
        </w:tc>
      </w:tr>
      <w:tr w:rsidR="00F64BF1" w:rsidRPr="00D12F9E" w:rsidTr="00636F87">
        <w:trPr>
          <w:trHeight w:val="1104"/>
        </w:trPr>
        <w:tc>
          <w:tcPr>
            <w:tcW w:w="4489" w:type="dxa"/>
            <w:shd w:val="clear" w:color="auto" w:fill="auto"/>
          </w:tcPr>
          <w:p w:rsidR="00F64BF1" w:rsidRPr="004E394F" w:rsidRDefault="00F64BF1" w:rsidP="002C100E">
            <w:pPr>
              <w:jc w:val="both"/>
              <w:rPr>
                <w:rFonts w:cs="Calibri"/>
                <w:b/>
                <w:lang w:val="en-US"/>
              </w:rPr>
            </w:pPr>
            <w:r w:rsidRPr="004E394F">
              <w:rPr>
                <w:rFonts w:cs="Calibri"/>
                <w:b/>
                <w:bCs/>
                <w:color w:val="000000"/>
                <w:lang w:val="en-US"/>
              </w:rPr>
              <w:t xml:space="preserve">WK1: </w:t>
            </w:r>
            <w:r w:rsidR="004E394F">
              <w:rPr>
                <w:lang w:val="en-US"/>
              </w:rPr>
              <w:t xml:space="preserve">A systematic, theory-based understanding of the </w:t>
            </w:r>
            <w:r w:rsidR="004E394F" w:rsidRPr="00C070CB">
              <w:rPr>
                <w:b/>
                <w:lang w:val="en-US"/>
              </w:rPr>
              <w:t>natural sciences</w:t>
            </w:r>
            <w:r w:rsidR="004E394F">
              <w:rPr>
                <w:lang w:val="en-US"/>
              </w:rPr>
              <w:t xml:space="preserve"> applicable to the discipline.</w:t>
            </w:r>
          </w:p>
        </w:tc>
        <w:tc>
          <w:tcPr>
            <w:tcW w:w="4489" w:type="dxa"/>
            <w:shd w:val="clear" w:color="auto" w:fill="auto"/>
          </w:tcPr>
          <w:p w:rsidR="00F64BF1" w:rsidRPr="004E394F" w:rsidRDefault="00F64BF1" w:rsidP="002C100E">
            <w:pPr>
              <w:jc w:val="both"/>
              <w:rPr>
                <w:rFonts w:cs="Calibri"/>
                <w:b/>
                <w:lang w:val="en-US"/>
              </w:rPr>
            </w:pPr>
          </w:p>
        </w:tc>
      </w:tr>
      <w:tr w:rsidR="00F64BF1" w:rsidRPr="00D12F9E" w:rsidTr="00B26809">
        <w:trPr>
          <w:trHeight w:val="1380"/>
        </w:trPr>
        <w:tc>
          <w:tcPr>
            <w:tcW w:w="4489" w:type="dxa"/>
            <w:shd w:val="clear" w:color="auto" w:fill="auto"/>
          </w:tcPr>
          <w:p w:rsidR="00F64BF1" w:rsidRPr="004E394F" w:rsidRDefault="00F64BF1" w:rsidP="002C100E">
            <w:pPr>
              <w:jc w:val="both"/>
              <w:rPr>
                <w:rFonts w:cs="Calibri"/>
                <w:b/>
                <w:lang w:val="en-US"/>
              </w:rPr>
            </w:pPr>
            <w:r w:rsidRPr="004E394F">
              <w:rPr>
                <w:rFonts w:cs="Calibri"/>
                <w:b/>
                <w:bCs/>
                <w:color w:val="000000"/>
                <w:lang w:val="en-US"/>
              </w:rPr>
              <w:t xml:space="preserve">WK2: </w:t>
            </w:r>
            <w:r w:rsidR="004E394F">
              <w:rPr>
                <w:lang w:val="en-US"/>
              </w:rPr>
              <w:t xml:space="preserve">Conceptually-based </w:t>
            </w:r>
            <w:r w:rsidR="004E394F" w:rsidRPr="00C070CB">
              <w:rPr>
                <w:b/>
                <w:lang w:val="en-US"/>
              </w:rPr>
              <w:t>mathematics</w:t>
            </w:r>
            <w:r w:rsidR="004E394F">
              <w:rPr>
                <w:lang w:val="en-US"/>
              </w:rPr>
              <w:t>, numerical analysis, statistics and formal aspects of computer and information science to support analysis and modeling applicable to the discipline.</w:t>
            </w:r>
          </w:p>
        </w:tc>
        <w:tc>
          <w:tcPr>
            <w:tcW w:w="4489" w:type="dxa"/>
            <w:shd w:val="clear" w:color="auto" w:fill="auto"/>
          </w:tcPr>
          <w:p w:rsidR="00F64BF1" w:rsidRPr="004E394F" w:rsidRDefault="00F64BF1" w:rsidP="002C100E">
            <w:pPr>
              <w:jc w:val="both"/>
              <w:rPr>
                <w:rFonts w:cs="Calibri"/>
                <w:b/>
                <w:lang w:val="en-US"/>
              </w:rPr>
            </w:pPr>
          </w:p>
        </w:tc>
      </w:tr>
      <w:tr w:rsidR="00F64BF1" w:rsidRPr="00D12F9E" w:rsidTr="00871396">
        <w:trPr>
          <w:trHeight w:val="1104"/>
        </w:trPr>
        <w:tc>
          <w:tcPr>
            <w:tcW w:w="4489" w:type="dxa"/>
            <w:shd w:val="clear" w:color="auto" w:fill="auto"/>
          </w:tcPr>
          <w:p w:rsidR="00F64BF1" w:rsidRPr="004E394F" w:rsidRDefault="00F64BF1" w:rsidP="002C100E">
            <w:pPr>
              <w:jc w:val="both"/>
              <w:rPr>
                <w:rFonts w:cs="Calibri"/>
                <w:b/>
                <w:lang w:val="en-US"/>
              </w:rPr>
            </w:pPr>
            <w:r w:rsidRPr="004E394F">
              <w:rPr>
                <w:rFonts w:cs="Calibri"/>
                <w:b/>
                <w:bCs/>
                <w:color w:val="000000"/>
                <w:lang w:val="en-US"/>
              </w:rPr>
              <w:t xml:space="preserve">WK3: </w:t>
            </w:r>
            <w:r w:rsidR="004E394F">
              <w:rPr>
                <w:lang w:val="en-US"/>
              </w:rPr>
              <w:t xml:space="preserve">A systematic, theory-based formulation of </w:t>
            </w:r>
            <w:r w:rsidR="004E394F" w:rsidRPr="00C070CB">
              <w:rPr>
                <w:b/>
                <w:lang w:val="en-US"/>
              </w:rPr>
              <w:t>engineering fundamentals</w:t>
            </w:r>
            <w:r w:rsidR="004E394F">
              <w:rPr>
                <w:lang w:val="en-US"/>
              </w:rPr>
              <w:t xml:space="preserve"> required in the engineering discipline.</w:t>
            </w:r>
          </w:p>
        </w:tc>
        <w:tc>
          <w:tcPr>
            <w:tcW w:w="4489" w:type="dxa"/>
            <w:shd w:val="clear" w:color="auto" w:fill="auto"/>
          </w:tcPr>
          <w:p w:rsidR="00F64BF1" w:rsidRPr="004E394F" w:rsidRDefault="00F64BF1" w:rsidP="002C100E">
            <w:pPr>
              <w:jc w:val="both"/>
              <w:rPr>
                <w:rFonts w:cs="Calibri"/>
                <w:b/>
                <w:lang w:val="en-US"/>
              </w:rPr>
            </w:pPr>
          </w:p>
        </w:tc>
      </w:tr>
      <w:tr w:rsidR="00F64BF1" w:rsidRPr="00D12F9E" w:rsidTr="002A584F">
        <w:trPr>
          <w:trHeight w:val="1380"/>
        </w:trPr>
        <w:tc>
          <w:tcPr>
            <w:tcW w:w="4489" w:type="dxa"/>
            <w:shd w:val="clear" w:color="auto" w:fill="auto"/>
          </w:tcPr>
          <w:p w:rsidR="00F64BF1" w:rsidRPr="004E394F" w:rsidRDefault="00F64BF1" w:rsidP="002C100E">
            <w:pPr>
              <w:jc w:val="both"/>
              <w:rPr>
                <w:rFonts w:cs="Calibri"/>
                <w:b/>
                <w:bCs/>
                <w:color w:val="000000"/>
                <w:lang w:val="en-US"/>
              </w:rPr>
            </w:pPr>
            <w:r w:rsidRPr="004E394F">
              <w:rPr>
                <w:rFonts w:cs="Calibri"/>
                <w:b/>
                <w:bCs/>
                <w:color w:val="000000"/>
                <w:lang w:val="en-US"/>
              </w:rPr>
              <w:t xml:space="preserve">WK4: </w:t>
            </w:r>
            <w:r w:rsidR="004E394F">
              <w:rPr>
                <w:lang w:val="en-US"/>
              </w:rPr>
              <w:t xml:space="preserve">Engineering </w:t>
            </w:r>
            <w:r w:rsidR="004E394F" w:rsidRPr="00C070CB">
              <w:rPr>
                <w:b/>
                <w:lang w:val="en-US"/>
              </w:rPr>
              <w:t>specialist knowledge</w:t>
            </w:r>
            <w:r w:rsidR="004E394F">
              <w:rPr>
                <w:lang w:val="en-US"/>
              </w:rPr>
              <w:t xml:space="preserve"> that provides theoretical frameworks and bodies of knowledge for the accepted practice areas in the engineering discipline; much is as the forefront of the discipline.</w:t>
            </w:r>
          </w:p>
        </w:tc>
        <w:tc>
          <w:tcPr>
            <w:tcW w:w="4489" w:type="dxa"/>
            <w:shd w:val="clear" w:color="auto" w:fill="auto"/>
          </w:tcPr>
          <w:p w:rsidR="00F64BF1" w:rsidRPr="004E394F" w:rsidRDefault="00F64BF1" w:rsidP="002C100E">
            <w:pPr>
              <w:jc w:val="both"/>
              <w:rPr>
                <w:rFonts w:cs="Calibri"/>
                <w:b/>
                <w:lang w:val="en-US"/>
              </w:rPr>
            </w:pPr>
          </w:p>
        </w:tc>
      </w:tr>
      <w:tr w:rsidR="0019004F" w:rsidRPr="00D12F9E" w:rsidTr="00CD2F42">
        <w:tc>
          <w:tcPr>
            <w:tcW w:w="8978" w:type="dxa"/>
            <w:gridSpan w:val="2"/>
            <w:shd w:val="clear" w:color="auto" w:fill="DEEAF6"/>
          </w:tcPr>
          <w:p w:rsidR="0019004F" w:rsidRPr="004E394F" w:rsidRDefault="004E394F" w:rsidP="002C100E">
            <w:pPr>
              <w:pStyle w:val="Listavistosa-nfasis11"/>
              <w:numPr>
                <w:ilvl w:val="0"/>
                <w:numId w:val="8"/>
              </w:numPr>
              <w:autoSpaceDE w:val="0"/>
              <w:autoSpaceDN w:val="0"/>
              <w:adjustRightInd w:val="0"/>
              <w:spacing w:after="0" w:line="240" w:lineRule="auto"/>
              <w:rPr>
                <w:rFonts w:cs="Calibri"/>
                <w:lang w:val="en-US"/>
              </w:rPr>
            </w:pPr>
            <w:r>
              <w:rPr>
                <w:rFonts w:cs="Calibri"/>
                <w:b/>
                <w:bCs/>
                <w:lang w:val="en-US"/>
              </w:rPr>
              <w:t>Problem Analysis:</w:t>
            </w:r>
            <w:r w:rsidR="0019004F" w:rsidRPr="004E394F">
              <w:rPr>
                <w:rFonts w:cs="Calibri"/>
                <w:b/>
                <w:bCs/>
                <w:lang w:val="en-US"/>
              </w:rPr>
              <w:t xml:space="preserve"> </w:t>
            </w:r>
          </w:p>
          <w:p w:rsidR="0019004F" w:rsidRPr="004E394F" w:rsidRDefault="0019004F" w:rsidP="002C100E">
            <w:pPr>
              <w:autoSpaceDE w:val="0"/>
              <w:autoSpaceDN w:val="0"/>
              <w:adjustRightInd w:val="0"/>
              <w:jc w:val="both"/>
              <w:rPr>
                <w:rFonts w:cs="Calibri"/>
                <w:color w:val="000000"/>
                <w:lang w:val="en-US"/>
              </w:rPr>
            </w:pPr>
            <w:r w:rsidRPr="004E394F">
              <w:rPr>
                <w:rFonts w:cs="Calibri"/>
                <w:b/>
                <w:bCs/>
                <w:lang w:val="en-US"/>
              </w:rPr>
              <w:t xml:space="preserve">WA2: </w:t>
            </w:r>
            <w:r w:rsidR="004E394F" w:rsidRPr="009878F1">
              <w:rPr>
                <w:rFonts w:asciiTheme="minorHAnsi" w:hAnsiTheme="minorHAnsi" w:cstheme="minorHAnsi"/>
                <w:color w:val="000000"/>
                <w:lang w:val="en-US"/>
              </w:rPr>
              <w:t xml:space="preserve">Identify, formulate, research literature and </w:t>
            </w:r>
            <w:proofErr w:type="spellStart"/>
            <w:r w:rsidR="004E394F" w:rsidRPr="009878F1">
              <w:rPr>
                <w:rFonts w:asciiTheme="minorHAnsi" w:hAnsiTheme="minorHAnsi" w:cstheme="minorHAnsi"/>
                <w:color w:val="000000"/>
                <w:lang w:val="en-US"/>
              </w:rPr>
              <w:t>analyse</w:t>
            </w:r>
            <w:proofErr w:type="spellEnd"/>
            <w:r w:rsidR="004E394F">
              <w:rPr>
                <w:rFonts w:asciiTheme="minorHAnsi" w:hAnsiTheme="minorHAnsi" w:cstheme="minorHAnsi"/>
                <w:color w:val="000000"/>
                <w:lang w:val="en-US"/>
              </w:rPr>
              <w:t xml:space="preserve"> </w:t>
            </w:r>
            <w:r w:rsidR="004E394F" w:rsidRPr="009878F1">
              <w:rPr>
                <w:rFonts w:asciiTheme="minorHAnsi" w:hAnsiTheme="minorHAnsi" w:cstheme="minorHAnsi"/>
                <w:i/>
                <w:iCs/>
                <w:color w:val="000000"/>
                <w:lang w:val="en-US"/>
              </w:rPr>
              <w:t xml:space="preserve">complex </w:t>
            </w:r>
            <w:r w:rsidR="004E394F" w:rsidRPr="009878F1">
              <w:rPr>
                <w:rFonts w:asciiTheme="minorHAnsi" w:hAnsiTheme="minorHAnsi" w:cstheme="minorHAnsi"/>
                <w:color w:val="000000"/>
                <w:lang w:val="en-US"/>
              </w:rPr>
              <w:t>engineering problems reaching substantiated conclusions using first principles of mathematics, natural sc</w:t>
            </w:r>
            <w:r w:rsidR="004E394F">
              <w:rPr>
                <w:rFonts w:asciiTheme="minorHAnsi" w:hAnsiTheme="minorHAnsi" w:cstheme="minorHAnsi"/>
                <w:color w:val="000000"/>
                <w:lang w:val="en-US"/>
              </w:rPr>
              <w:t>iences and engineering sciences</w:t>
            </w:r>
            <w:r w:rsidR="004E394F" w:rsidRPr="009878F1">
              <w:rPr>
                <w:rFonts w:asciiTheme="minorHAnsi" w:hAnsiTheme="minorHAnsi" w:cstheme="minorHAnsi"/>
                <w:color w:val="000000"/>
                <w:lang w:val="en-US"/>
              </w:rPr>
              <w:t xml:space="preserve"> (WK1 to WK4)</w:t>
            </w:r>
          </w:p>
        </w:tc>
      </w:tr>
      <w:tr w:rsidR="00DD0371" w:rsidRPr="00D12F9E" w:rsidTr="002C100E">
        <w:tc>
          <w:tcPr>
            <w:tcW w:w="4489" w:type="dxa"/>
            <w:shd w:val="clear" w:color="auto" w:fill="auto"/>
          </w:tcPr>
          <w:p w:rsidR="00DD0371" w:rsidRPr="004E394F" w:rsidRDefault="004E394F" w:rsidP="00DD0371">
            <w:pPr>
              <w:rPr>
                <w:rFonts w:cs="Calibri"/>
                <w:i/>
                <w:sz w:val="18"/>
                <w:lang w:val="en-US"/>
              </w:rPr>
            </w:pPr>
            <w:r w:rsidRPr="004E394F">
              <w:rPr>
                <w:rFonts w:cs="Calibri"/>
                <w:i/>
                <w:sz w:val="18"/>
                <w:lang w:val="en-US"/>
              </w:rPr>
              <w:t>The learning process should allow graduates to demonstrate:</w:t>
            </w:r>
          </w:p>
        </w:tc>
        <w:tc>
          <w:tcPr>
            <w:tcW w:w="4489" w:type="dxa"/>
            <w:shd w:val="clear" w:color="auto" w:fill="auto"/>
          </w:tcPr>
          <w:p w:rsidR="00DD0371" w:rsidRPr="004E394F" w:rsidRDefault="004E394F" w:rsidP="00DD0371">
            <w:pPr>
              <w:jc w:val="both"/>
              <w:rPr>
                <w:rFonts w:cs="Calibri"/>
                <w:b/>
                <w:i/>
                <w:sz w:val="18"/>
                <w:lang w:val="en-US"/>
              </w:rPr>
            </w:pPr>
            <w:r>
              <w:rPr>
                <w:rFonts w:cs="Calibri"/>
                <w:b/>
                <w:i/>
                <w:sz w:val="18"/>
                <w:lang w:val="en-US"/>
              </w:rPr>
              <w:t>Explain</w:t>
            </w:r>
            <w:r w:rsidRPr="004E394F">
              <w:rPr>
                <w:rFonts w:cs="Calibri"/>
                <w:b/>
                <w:i/>
                <w:sz w:val="18"/>
                <w:lang w:val="en-US"/>
              </w:rPr>
              <w:t xml:space="preserve">/detail the competencies or learning outcomes of the subjects of the </w:t>
            </w:r>
            <w:r>
              <w:rPr>
                <w:rFonts w:cs="Calibri"/>
                <w:b/>
                <w:i/>
                <w:sz w:val="18"/>
                <w:lang w:val="en-US"/>
              </w:rPr>
              <w:t>curriculum</w:t>
            </w:r>
            <w:r w:rsidRPr="004E394F">
              <w:rPr>
                <w:rFonts w:cs="Calibri"/>
                <w:b/>
                <w:i/>
                <w:sz w:val="18"/>
                <w:lang w:val="en-US"/>
              </w:rPr>
              <w:t xml:space="preserve"> that are oriented towards achieving the results indicated for this attribute.</w:t>
            </w:r>
          </w:p>
        </w:tc>
      </w:tr>
      <w:tr w:rsidR="00F64BF1" w:rsidRPr="00D12F9E" w:rsidTr="00100307">
        <w:trPr>
          <w:trHeight w:val="1104"/>
        </w:trPr>
        <w:tc>
          <w:tcPr>
            <w:tcW w:w="4489" w:type="dxa"/>
            <w:shd w:val="clear" w:color="auto" w:fill="auto"/>
          </w:tcPr>
          <w:p w:rsidR="00F64BF1" w:rsidRPr="004E394F" w:rsidRDefault="004E394F" w:rsidP="002C100E">
            <w:pPr>
              <w:jc w:val="both"/>
              <w:rPr>
                <w:rFonts w:cs="Calibri"/>
                <w:b/>
                <w:lang w:val="en-US"/>
              </w:rPr>
            </w:pPr>
            <w:r w:rsidRPr="004E394F">
              <w:rPr>
                <w:rFonts w:cs="Calibri"/>
                <w:b/>
                <w:bCs/>
                <w:color w:val="000000"/>
                <w:lang w:val="en-US"/>
              </w:rPr>
              <w:t xml:space="preserve">WK1: </w:t>
            </w:r>
            <w:r>
              <w:rPr>
                <w:lang w:val="en-US"/>
              </w:rPr>
              <w:t xml:space="preserve">A systematic, theory-based understanding of the </w:t>
            </w:r>
            <w:r w:rsidRPr="00C070CB">
              <w:rPr>
                <w:b/>
                <w:lang w:val="en-US"/>
              </w:rPr>
              <w:t>natural sciences</w:t>
            </w:r>
            <w:r>
              <w:rPr>
                <w:lang w:val="en-US"/>
              </w:rPr>
              <w:t xml:space="preserve"> applicable to the discipline.</w:t>
            </w:r>
          </w:p>
        </w:tc>
        <w:tc>
          <w:tcPr>
            <w:tcW w:w="4489" w:type="dxa"/>
            <w:shd w:val="clear" w:color="auto" w:fill="auto"/>
          </w:tcPr>
          <w:p w:rsidR="00F64BF1" w:rsidRPr="004E394F" w:rsidRDefault="00F64BF1" w:rsidP="002C100E">
            <w:pPr>
              <w:jc w:val="both"/>
              <w:rPr>
                <w:rFonts w:cs="Calibri"/>
                <w:b/>
                <w:lang w:val="en-US"/>
              </w:rPr>
            </w:pPr>
          </w:p>
        </w:tc>
      </w:tr>
      <w:tr w:rsidR="004E394F" w:rsidRPr="00D12F9E" w:rsidTr="00A63AA3">
        <w:trPr>
          <w:trHeight w:val="1380"/>
        </w:trPr>
        <w:tc>
          <w:tcPr>
            <w:tcW w:w="4489" w:type="dxa"/>
            <w:shd w:val="clear" w:color="auto" w:fill="auto"/>
          </w:tcPr>
          <w:p w:rsidR="004E394F" w:rsidRPr="004E394F" w:rsidRDefault="004E394F" w:rsidP="005319F3">
            <w:pPr>
              <w:jc w:val="both"/>
              <w:rPr>
                <w:rFonts w:cs="Calibri"/>
                <w:b/>
                <w:lang w:val="en-US"/>
              </w:rPr>
            </w:pPr>
            <w:r w:rsidRPr="004E394F">
              <w:rPr>
                <w:rFonts w:cs="Calibri"/>
                <w:b/>
                <w:bCs/>
                <w:color w:val="000000"/>
                <w:lang w:val="en-US"/>
              </w:rPr>
              <w:lastRenderedPageBreak/>
              <w:t xml:space="preserve">WK2: </w:t>
            </w:r>
            <w:r>
              <w:rPr>
                <w:lang w:val="en-US"/>
              </w:rPr>
              <w:t xml:space="preserve">Conceptually-based </w:t>
            </w:r>
            <w:r w:rsidRPr="00C070CB">
              <w:rPr>
                <w:b/>
                <w:lang w:val="en-US"/>
              </w:rPr>
              <w:t>mathematics</w:t>
            </w:r>
            <w:r>
              <w:rPr>
                <w:lang w:val="en-US"/>
              </w:rPr>
              <w:t>, numerical analysis, statistics and formal aspects of computer and information science to support analysis and modeling applicable to the discipline.</w:t>
            </w:r>
          </w:p>
        </w:tc>
        <w:tc>
          <w:tcPr>
            <w:tcW w:w="4489" w:type="dxa"/>
            <w:shd w:val="clear" w:color="auto" w:fill="auto"/>
          </w:tcPr>
          <w:p w:rsidR="004E394F" w:rsidRPr="004E394F" w:rsidRDefault="004E394F" w:rsidP="002C100E">
            <w:pPr>
              <w:jc w:val="both"/>
              <w:rPr>
                <w:rFonts w:cs="Calibri"/>
                <w:b/>
                <w:lang w:val="en-US"/>
              </w:rPr>
            </w:pPr>
          </w:p>
        </w:tc>
      </w:tr>
      <w:tr w:rsidR="004E394F" w:rsidRPr="00D12F9E" w:rsidTr="002719C8">
        <w:trPr>
          <w:trHeight w:val="1104"/>
        </w:trPr>
        <w:tc>
          <w:tcPr>
            <w:tcW w:w="4489" w:type="dxa"/>
            <w:shd w:val="clear" w:color="auto" w:fill="auto"/>
          </w:tcPr>
          <w:p w:rsidR="004E394F" w:rsidRPr="004E394F" w:rsidRDefault="004E394F" w:rsidP="005319F3">
            <w:pPr>
              <w:jc w:val="both"/>
              <w:rPr>
                <w:rFonts w:cs="Calibri"/>
                <w:b/>
                <w:lang w:val="en-US"/>
              </w:rPr>
            </w:pPr>
            <w:r w:rsidRPr="004E394F">
              <w:rPr>
                <w:rFonts w:cs="Calibri"/>
                <w:b/>
                <w:bCs/>
                <w:color w:val="000000"/>
                <w:lang w:val="en-US"/>
              </w:rPr>
              <w:t xml:space="preserve">WK3: </w:t>
            </w:r>
            <w:r>
              <w:rPr>
                <w:lang w:val="en-US"/>
              </w:rPr>
              <w:t xml:space="preserve">A systematic, theory-based formulation of </w:t>
            </w:r>
            <w:r w:rsidRPr="00C070CB">
              <w:rPr>
                <w:b/>
                <w:lang w:val="en-US"/>
              </w:rPr>
              <w:t>engineering fundamentals</w:t>
            </w:r>
            <w:r>
              <w:rPr>
                <w:lang w:val="en-US"/>
              </w:rPr>
              <w:t xml:space="preserve"> required in the engineering discipline.</w:t>
            </w:r>
          </w:p>
        </w:tc>
        <w:tc>
          <w:tcPr>
            <w:tcW w:w="4489" w:type="dxa"/>
            <w:shd w:val="clear" w:color="auto" w:fill="auto"/>
          </w:tcPr>
          <w:p w:rsidR="004E394F" w:rsidRPr="004E394F" w:rsidRDefault="004E394F" w:rsidP="002C100E">
            <w:pPr>
              <w:jc w:val="both"/>
              <w:rPr>
                <w:rFonts w:cs="Calibri"/>
                <w:b/>
                <w:lang w:val="en-US"/>
              </w:rPr>
            </w:pPr>
          </w:p>
        </w:tc>
      </w:tr>
      <w:tr w:rsidR="004E394F" w:rsidRPr="00D12F9E" w:rsidTr="001E65E8">
        <w:trPr>
          <w:trHeight w:val="1380"/>
        </w:trPr>
        <w:tc>
          <w:tcPr>
            <w:tcW w:w="4489" w:type="dxa"/>
            <w:shd w:val="clear" w:color="auto" w:fill="auto"/>
          </w:tcPr>
          <w:p w:rsidR="004E394F" w:rsidRPr="004E394F" w:rsidRDefault="004E394F" w:rsidP="005319F3">
            <w:pPr>
              <w:jc w:val="both"/>
              <w:rPr>
                <w:rFonts w:cs="Calibri"/>
                <w:b/>
                <w:bCs/>
                <w:color w:val="000000"/>
                <w:lang w:val="en-US"/>
              </w:rPr>
            </w:pPr>
            <w:r w:rsidRPr="004E394F">
              <w:rPr>
                <w:rFonts w:cs="Calibri"/>
                <w:b/>
                <w:bCs/>
                <w:color w:val="000000"/>
                <w:lang w:val="en-US"/>
              </w:rPr>
              <w:t xml:space="preserve">WK4: </w:t>
            </w:r>
            <w:r>
              <w:rPr>
                <w:lang w:val="en-US"/>
              </w:rPr>
              <w:t xml:space="preserve">Engineering </w:t>
            </w:r>
            <w:r w:rsidRPr="00C070CB">
              <w:rPr>
                <w:b/>
                <w:lang w:val="en-US"/>
              </w:rPr>
              <w:t>specialist knowledge</w:t>
            </w:r>
            <w:r>
              <w:rPr>
                <w:lang w:val="en-US"/>
              </w:rPr>
              <w:t xml:space="preserve"> that provides theoretical frameworks and bodies of knowledge for the accepted practice areas in the engineering discipline; much is as the forefront of the discipline.</w:t>
            </w:r>
          </w:p>
        </w:tc>
        <w:tc>
          <w:tcPr>
            <w:tcW w:w="4489" w:type="dxa"/>
            <w:shd w:val="clear" w:color="auto" w:fill="auto"/>
          </w:tcPr>
          <w:p w:rsidR="004E394F" w:rsidRPr="004E394F" w:rsidRDefault="004E394F" w:rsidP="002C100E">
            <w:pPr>
              <w:jc w:val="both"/>
              <w:rPr>
                <w:rFonts w:cs="Calibri"/>
                <w:b/>
                <w:lang w:val="en-US"/>
              </w:rPr>
            </w:pPr>
          </w:p>
        </w:tc>
      </w:tr>
      <w:tr w:rsidR="0019004F" w:rsidRPr="00D12F9E" w:rsidTr="00CD2F42">
        <w:tc>
          <w:tcPr>
            <w:tcW w:w="8978" w:type="dxa"/>
            <w:gridSpan w:val="2"/>
            <w:shd w:val="clear" w:color="auto" w:fill="DEEAF6"/>
          </w:tcPr>
          <w:p w:rsidR="00347F1B" w:rsidRPr="004E394F" w:rsidRDefault="004E394F" w:rsidP="00347F1B">
            <w:pPr>
              <w:pStyle w:val="Listavistosa-nfasis11"/>
              <w:numPr>
                <w:ilvl w:val="0"/>
                <w:numId w:val="8"/>
              </w:numPr>
              <w:autoSpaceDE w:val="0"/>
              <w:autoSpaceDN w:val="0"/>
              <w:adjustRightInd w:val="0"/>
              <w:spacing w:after="0" w:line="240" w:lineRule="auto"/>
              <w:jc w:val="both"/>
              <w:rPr>
                <w:rFonts w:cs="Calibri"/>
                <w:color w:val="000000"/>
                <w:lang w:val="en-US"/>
              </w:rPr>
            </w:pPr>
            <w:r w:rsidRPr="009878F1">
              <w:rPr>
                <w:rFonts w:asciiTheme="minorHAnsi" w:hAnsiTheme="minorHAnsi" w:cstheme="minorHAnsi"/>
                <w:b/>
                <w:bCs/>
                <w:color w:val="000000"/>
                <w:lang w:val="en-US"/>
              </w:rPr>
              <w:t>Design/ development of solutions:</w:t>
            </w:r>
          </w:p>
          <w:p w:rsidR="0019004F" w:rsidRPr="004E394F" w:rsidRDefault="0019004F" w:rsidP="004E394F">
            <w:pPr>
              <w:pStyle w:val="Listavistosa-nfasis11"/>
              <w:autoSpaceDE w:val="0"/>
              <w:autoSpaceDN w:val="0"/>
              <w:adjustRightInd w:val="0"/>
              <w:spacing w:after="0" w:line="240" w:lineRule="auto"/>
              <w:ind w:left="0"/>
              <w:jc w:val="both"/>
              <w:rPr>
                <w:rFonts w:cs="Calibri"/>
                <w:color w:val="000000"/>
                <w:lang w:val="en-US"/>
              </w:rPr>
            </w:pPr>
            <w:r w:rsidRPr="004E394F">
              <w:rPr>
                <w:rFonts w:cs="Calibri"/>
                <w:b/>
                <w:bCs/>
                <w:color w:val="000000"/>
                <w:lang w:val="en-US"/>
              </w:rPr>
              <w:t>WA3:</w:t>
            </w:r>
            <w:r w:rsidR="004E394F" w:rsidRPr="009878F1">
              <w:rPr>
                <w:rFonts w:asciiTheme="minorHAnsi" w:hAnsiTheme="minorHAnsi" w:cstheme="minorHAnsi"/>
                <w:color w:val="000000"/>
                <w:lang w:val="en-US"/>
              </w:rPr>
              <w:t xml:space="preserve"> Design solutions for </w:t>
            </w:r>
            <w:r w:rsidR="004E394F" w:rsidRPr="009878F1">
              <w:rPr>
                <w:rFonts w:asciiTheme="minorHAnsi" w:hAnsiTheme="minorHAnsi" w:cstheme="minorHAnsi"/>
                <w:i/>
                <w:iCs/>
                <w:color w:val="000000"/>
                <w:lang w:val="en-US"/>
              </w:rPr>
              <w:t xml:space="preserve">complex </w:t>
            </w:r>
            <w:r w:rsidR="004E394F" w:rsidRPr="009878F1">
              <w:rPr>
                <w:rFonts w:asciiTheme="minorHAnsi" w:hAnsiTheme="minorHAnsi" w:cstheme="minorHAnsi"/>
                <w:color w:val="000000"/>
                <w:lang w:val="en-US"/>
              </w:rPr>
              <w:t>engineering problems and design systems, components or processes that meet specified needs with appropriate consideration for public health and safety, cultural, societal, a</w:t>
            </w:r>
            <w:r w:rsidR="004E394F">
              <w:rPr>
                <w:rFonts w:asciiTheme="minorHAnsi" w:hAnsiTheme="minorHAnsi" w:cstheme="minorHAnsi"/>
                <w:color w:val="000000"/>
                <w:lang w:val="en-US"/>
              </w:rPr>
              <w:t>nd environmental considerations</w:t>
            </w:r>
            <w:r w:rsidR="004E394F" w:rsidRPr="009878F1">
              <w:rPr>
                <w:rFonts w:asciiTheme="minorHAnsi" w:hAnsiTheme="minorHAnsi" w:cstheme="minorHAnsi"/>
                <w:color w:val="000000"/>
                <w:lang w:val="en-US"/>
              </w:rPr>
              <w:t xml:space="preserve"> (WK5)</w:t>
            </w:r>
            <w:r w:rsidR="004E394F">
              <w:rPr>
                <w:rFonts w:asciiTheme="minorHAnsi" w:hAnsiTheme="minorHAnsi" w:cstheme="minorHAnsi"/>
                <w:color w:val="000000"/>
                <w:lang w:val="en-US"/>
              </w:rPr>
              <w:t>.</w:t>
            </w:r>
          </w:p>
        </w:tc>
      </w:tr>
      <w:tr w:rsidR="004E394F" w:rsidRPr="00D12F9E" w:rsidTr="00FD1CEC">
        <w:tc>
          <w:tcPr>
            <w:tcW w:w="4489" w:type="dxa"/>
            <w:shd w:val="clear" w:color="auto" w:fill="auto"/>
          </w:tcPr>
          <w:p w:rsidR="004E394F" w:rsidRPr="004E394F" w:rsidRDefault="004E394F" w:rsidP="005319F3">
            <w:pPr>
              <w:rPr>
                <w:rFonts w:cs="Calibri"/>
                <w:i/>
                <w:sz w:val="18"/>
                <w:lang w:val="en-US"/>
              </w:rPr>
            </w:pPr>
            <w:r w:rsidRPr="004E394F">
              <w:rPr>
                <w:rFonts w:cs="Calibri"/>
                <w:i/>
                <w:sz w:val="18"/>
                <w:lang w:val="en-US"/>
              </w:rPr>
              <w:t>The learning process should allow graduates to demonstrate:</w:t>
            </w:r>
          </w:p>
        </w:tc>
        <w:tc>
          <w:tcPr>
            <w:tcW w:w="4489" w:type="dxa"/>
            <w:shd w:val="clear" w:color="auto" w:fill="auto"/>
          </w:tcPr>
          <w:p w:rsidR="004E394F" w:rsidRPr="004E394F" w:rsidRDefault="004E394F" w:rsidP="005319F3">
            <w:pPr>
              <w:jc w:val="both"/>
              <w:rPr>
                <w:rFonts w:cs="Calibri"/>
                <w:b/>
                <w:i/>
                <w:sz w:val="18"/>
                <w:lang w:val="en-US"/>
              </w:rPr>
            </w:pPr>
            <w:r>
              <w:rPr>
                <w:rFonts w:cs="Calibri"/>
                <w:b/>
                <w:i/>
                <w:sz w:val="18"/>
                <w:lang w:val="en-US"/>
              </w:rPr>
              <w:t>Explain</w:t>
            </w:r>
            <w:r w:rsidRPr="004E394F">
              <w:rPr>
                <w:rFonts w:cs="Calibri"/>
                <w:b/>
                <w:i/>
                <w:sz w:val="18"/>
                <w:lang w:val="en-US"/>
              </w:rPr>
              <w:t xml:space="preserve">/detail the competencies or learning outcomes of the subjects of the </w:t>
            </w:r>
            <w:r>
              <w:rPr>
                <w:rFonts w:cs="Calibri"/>
                <w:b/>
                <w:i/>
                <w:sz w:val="18"/>
                <w:lang w:val="en-US"/>
              </w:rPr>
              <w:t>curriculum</w:t>
            </w:r>
            <w:r w:rsidRPr="004E394F">
              <w:rPr>
                <w:rFonts w:cs="Calibri"/>
                <w:b/>
                <w:i/>
                <w:sz w:val="18"/>
                <w:lang w:val="en-US"/>
              </w:rPr>
              <w:t xml:space="preserve"> that are oriented towards achieving the results indicated for this attribute.</w:t>
            </w:r>
          </w:p>
        </w:tc>
      </w:tr>
      <w:tr w:rsidR="00F64BF1" w:rsidRPr="00D12F9E" w:rsidTr="00DA15A0">
        <w:trPr>
          <w:trHeight w:val="1104"/>
        </w:trPr>
        <w:tc>
          <w:tcPr>
            <w:tcW w:w="4489" w:type="dxa"/>
            <w:shd w:val="clear" w:color="auto" w:fill="auto"/>
          </w:tcPr>
          <w:p w:rsidR="00F64BF1" w:rsidRPr="004E394F" w:rsidRDefault="00F64BF1" w:rsidP="004E394F">
            <w:pPr>
              <w:autoSpaceDE w:val="0"/>
              <w:autoSpaceDN w:val="0"/>
              <w:adjustRightInd w:val="0"/>
              <w:jc w:val="both"/>
              <w:rPr>
                <w:rFonts w:cs="Calibri"/>
                <w:color w:val="000000"/>
                <w:lang w:val="en-US"/>
              </w:rPr>
            </w:pPr>
            <w:r w:rsidRPr="004E394F">
              <w:rPr>
                <w:rFonts w:cs="Calibri"/>
                <w:b/>
                <w:bCs/>
                <w:lang w:val="en-US"/>
              </w:rPr>
              <w:t>WK5:</w:t>
            </w:r>
            <w:r w:rsidR="004E394F">
              <w:rPr>
                <w:rFonts w:cs="Calibri"/>
                <w:lang w:val="en-US"/>
              </w:rPr>
              <w:t xml:space="preserve"> </w:t>
            </w:r>
            <w:r w:rsidR="004E394F">
              <w:rPr>
                <w:lang w:val="en-US"/>
              </w:rPr>
              <w:t xml:space="preserve">Knowledge that supports </w:t>
            </w:r>
            <w:r w:rsidR="004E394F" w:rsidRPr="00C070CB">
              <w:rPr>
                <w:b/>
                <w:lang w:val="en-US"/>
              </w:rPr>
              <w:t>engineering design</w:t>
            </w:r>
            <w:r w:rsidR="004E394F">
              <w:rPr>
                <w:lang w:val="en-US"/>
              </w:rPr>
              <w:t xml:space="preserve"> in a practice area.</w:t>
            </w:r>
          </w:p>
        </w:tc>
        <w:tc>
          <w:tcPr>
            <w:tcW w:w="4489" w:type="dxa"/>
            <w:shd w:val="clear" w:color="auto" w:fill="auto"/>
          </w:tcPr>
          <w:p w:rsidR="00F64BF1" w:rsidRPr="004E394F" w:rsidRDefault="00F64BF1" w:rsidP="002C100E">
            <w:pPr>
              <w:jc w:val="both"/>
              <w:rPr>
                <w:rFonts w:cs="Calibri"/>
                <w:b/>
                <w:lang w:val="en-US"/>
              </w:rPr>
            </w:pPr>
          </w:p>
        </w:tc>
      </w:tr>
      <w:tr w:rsidR="0019004F" w:rsidRPr="00D12F9E" w:rsidTr="00CD2F42">
        <w:tc>
          <w:tcPr>
            <w:tcW w:w="8978" w:type="dxa"/>
            <w:gridSpan w:val="2"/>
            <w:shd w:val="clear" w:color="auto" w:fill="DEEAF6"/>
          </w:tcPr>
          <w:p w:rsidR="0019004F" w:rsidRPr="004E394F" w:rsidRDefault="0019004F" w:rsidP="002C100E">
            <w:pPr>
              <w:pStyle w:val="Listavistosa-nfasis11"/>
              <w:numPr>
                <w:ilvl w:val="0"/>
                <w:numId w:val="8"/>
              </w:numPr>
              <w:autoSpaceDE w:val="0"/>
              <w:autoSpaceDN w:val="0"/>
              <w:adjustRightInd w:val="0"/>
              <w:spacing w:after="0" w:line="240" w:lineRule="auto"/>
              <w:rPr>
                <w:rFonts w:cs="Calibri"/>
                <w:color w:val="000000"/>
                <w:lang w:val="en-US"/>
              </w:rPr>
            </w:pPr>
            <w:r w:rsidRPr="004E394F">
              <w:rPr>
                <w:rFonts w:cs="Calibri"/>
                <w:b/>
                <w:bCs/>
                <w:lang w:val="en-US"/>
              </w:rPr>
              <w:t>Investig</w:t>
            </w:r>
            <w:r w:rsidRPr="004E394F">
              <w:rPr>
                <w:rFonts w:cs="Calibri"/>
                <w:b/>
                <w:bCs/>
                <w:spacing w:val="-1"/>
                <w:lang w:val="en-US"/>
              </w:rPr>
              <w:t>a</w:t>
            </w:r>
            <w:r w:rsidR="004E394F">
              <w:rPr>
                <w:rFonts w:cs="Calibri"/>
                <w:b/>
                <w:bCs/>
                <w:lang w:val="en-US"/>
              </w:rPr>
              <w:t>tion:</w:t>
            </w:r>
          </w:p>
          <w:p w:rsidR="0019004F" w:rsidRPr="004E394F" w:rsidRDefault="0019004F" w:rsidP="004E394F">
            <w:pPr>
              <w:autoSpaceDE w:val="0"/>
              <w:autoSpaceDN w:val="0"/>
              <w:adjustRightInd w:val="0"/>
              <w:jc w:val="both"/>
              <w:rPr>
                <w:rFonts w:cs="Calibri"/>
                <w:color w:val="000000"/>
                <w:lang w:val="en-US"/>
              </w:rPr>
            </w:pPr>
            <w:r w:rsidRPr="004E394F">
              <w:rPr>
                <w:rFonts w:cs="Calibri"/>
                <w:b/>
                <w:bCs/>
                <w:lang w:val="en-US"/>
              </w:rPr>
              <w:t>WA4:</w:t>
            </w:r>
            <w:r w:rsidR="004E394F">
              <w:rPr>
                <w:rFonts w:cs="Calibri"/>
                <w:lang w:val="en-US"/>
              </w:rPr>
              <w:t xml:space="preserve"> </w:t>
            </w:r>
            <w:r w:rsidR="004E394F" w:rsidRPr="009878F1">
              <w:rPr>
                <w:rFonts w:asciiTheme="minorHAnsi" w:hAnsiTheme="minorHAnsi" w:cstheme="minorHAnsi"/>
                <w:color w:val="000000"/>
                <w:lang w:val="en-US"/>
              </w:rPr>
              <w:t xml:space="preserve">Conduct investigations of </w:t>
            </w:r>
            <w:r w:rsidR="004E394F" w:rsidRPr="009878F1">
              <w:rPr>
                <w:rFonts w:asciiTheme="minorHAnsi" w:hAnsiTheme="minorHAnsi" w:cstheme="minorHAnsi"/>
                <w:i/>
                <w:iCs/>
                <w:color w:val="000000"/>
                <w:lang w:val="en-US"/>
              </w:rPr>
              <w:t xml:space="preserve">complex </w:t>
            </w:r>
            <w:r w:rsidR="004E394F" w:rsidRPr="009878F1">
              <w:rPr>
                <w:rFonts w:asciiTheme="minorHAnsi" w:hAnsiTheme="minorHAnsi" w:cstheme="minorHAnsi"/>
                <w:color w:val="000000"/>
                <w:lang w:val="en-US"/>
              </w:rPr>
              <w:t>problems using research-based knowledge (WK8) and research methods including design of experiments, analysis and interpretation of data, and synthesis of information to provide valid conclusions.</w:t>
            </w:r>
          </w:p>
        </w:tc>
      </w:tr>
      <w:tr w:rsidR="004E394F" w:rsidRPr="00D12F9E" w:rsidTr="00FD1CEC">
        <w:tc>
          <w:tcPr>
            <w:tcW w:w="4489" w:type="dxa"/>
            <w:shd w:val="clear" w:color="auto" w:fill="auto"/>
          </w:tcPr>
          <w:p w:rsidR="004E394F" w:rsidRPr="004E394F" w:rsidRDefault="004E394F" w:rsidP="005319F3">
            <w:pPr>
              <w:rPr>
                <w:rFonts w:cs="Calibri"/>
                <w:i/>
                <w:sz w:val="18"/>
                <w:lang w:val="en-US"/>
              </w:rPr>
            </w:pPr>
            <w:r w:rsidRPr="004E394F">
              <w:rPr>
                <w:rFonts w:cs="Calibri"/>
                <w:i/>
                <w:sz w:val="18"/>
                <w:lang w:val="en-US"/>
              </w:rPr>
              <w:t>The learning process should allow graduates to demonstrate:</w:t>
            </w:r>
          </w:p>
        </w:tc>
        <w:tc>
          <w:tcPr>
            <w:tcW w:w="4489" w:type="dxa"/>
            <w:shd w:val="clear" w:color="auto" w:fill="auto"/>
          </w:tcPr>
          <w:p w:rsidR="004E394F" w:rsidRPr="004E394F" w:rsidRDefault="004E394F" w:rsidP="005319F3">
            <w:pPr>
              <w:jc w:val="both"/>
              <w:rPr>
                <w:rFonts w:cs="Calibri"/>
                <w:b/>
                <w:i/>
                <w:sz w:val="18"/>
                <w:lang w:val="en-US"/>
              </w:rPr>
            </w:pPr>
            <w:r>
              <w:rPr>
                <w:rFonts w:cs="Calibri"/>
                <w:b/>
                <w:i/>
                <w:sz w:val="18"/>
                <w:lang w:val="en-US"/>
              </w:rPr>
              <w:t>Explain</w:t>
            </w:r>
            <w:r w:rsidRPr="004E394F">
              <w:rPr>
                <w:rFonts w:cs="Calibri"/>
                <w:b/>
                <w:i/>
                <w:sz w:val="18"/>
                <w:lang w:val="en-US"/>
              </w:rPr>
              <w:t xml:space="preserve">/detail the competencies or learning outcomes of the subjects of the </w:t>
            </w:r>
            <w:r>
              <w:rPr>
                <w:rFonts w:cs="Calibri"/>
                <w:b/>
                <w:i/>
                <w:sz w:val="18"/>
                <w:lang w:val="en-US"/>
              </w:rPr>
              <w:t>curriculum</w:t>
            </w:r>
            <w:r w:rsidRPr="004E394F">
              <w:rPr>
                <w:rFonts w:cs="Calibri"/>
                <w:b/>
                <w:i/>
                <w:sz w:val="18"/>
                <w:lang w:val="en-US"/>
              </w:rPr>
              <w:t xml:space="preserve"> that are oriented towards achieving the results indicated for this attribute.</w:t>
            </w:r>
          </w:p>
        </w:tc>
      </w:tr>
      <w:tr w:rsidR="00F64BF1" w:rsidRPr="00D12F9E" w:rsidTr="000B16B2">
        <w:trPr>
          <w:trHeight w:val="1104"/>
        </w:trPr>
        <w:tc>
          <w:tcPr>
            <w:tcW w:w="4489" w:type="dxa"/>
            <w:shd w:val="clear" w:color="auto" w:fill="auto"/>
          </w:tcPr>
          <w:p w:rsidR="00F64BF1" w:rsidRPr="004E394F" w:rsidRDefault="00F64BF1" w:rsidP="004E394F">
            <w:pPr>
              <w:autoSpaceDE w:val="0"/>
              <w:autoSpaceDN w:val="0"/>
              <w:adjustRightInd w:val="0"/>
              <w:rPr>
                <w:rFonts w:cs="Calibri"/>
                <w:b/>
                <w:bCs/>
                <w:color w:val="000000"/>
                <w:lang w:val="en-US"/>
              </w:rPr>
            </w:pPr>
            <w:r w:rsidRPr="004E394F">
              <w:rPr>
                <w:rFonts w:cs="Calibri"/>
                <w:b/>
                <w:bCs/>
                <w:lang w:val="en-US"/>
              </w:rPr>
              <w:t>WK8:</w:t>
            </w:r>
            <w:r w:rsidR="004E394F">
              <w:rPr>
                <w:rFonts w:cs="Calibri"/>
                <w:bCs/>
                <w:spacing w:val="-5"/>
                <w:lang w:val="en-US"/>
              </w:rPr>
              <w:t xml:space="preserve"> </w:t>
            </w:r>
            <w:r w:rsidR="004E394F">
              <w:rPr>
                <w:lang w:val="en-US"/>
              </w:rPr>
              <w:t xml:space="preserve">Engagement with selected knowledge in the </w:t>
            </w:r>
            <w:r w:rsidR="004E394F" w:rsidRPr="00C070CB">
              <w:rPr>
                <w:b/>
                <w:lang w:val="en-US"/>
              </w:rPr>
              <w:t>research literature</w:t>
            </w:r>
            <w:r w:rsidR="004E394F">
              <w:rPr>
                <w:lang w:val="en-US"/>
              </w:rPr>
              <w:t xml:space="preserve"> of the discipline.</w:t>
            </w:r>
          </w:p>
        </w:tc>
        <w:tc>
          <w:tcPr>
            <w:tcW w:w="4489" w:type="dxa"/>
            <w:shd w:val="clear" w:color="auto" w:fill="auto"/>
          </w:tcPr>
          <w:p w:rsidR="00F64BF1" w:rsidRPr="004E394F" w:rsidRDefault="00F64BF1" w:rsidP="002C100E">
            <w:pPr>
              <w:jc w:val="both"/>
              <w:rPr>
                <w:rFonts w:cs="Calibri"/>
                <w:b/>
                <w:lang w:val="en-US"/>
              </w:rPr>
            </w:pPr>
          </w:p>
        </w:tc>
      </w:tr>
      <w:tr w:rsidR="0019004F" w:rsidRPr="00D12F9E" w:rsidTr="00CD2F42">
        <w:tc>
          <w:tcPr>
            <w:tcW w:w="8978" w:type="dxa"/>
            <w:gridSpan w:val="2"/>
            <w:shd w:val="clear" w:color="auto" w:fill="DEEAF6"/>
          </w:tcPr>
          <w:p w:rsidR="0019004F" w:rsidRPr="004E394F" w:rsidRDefault="004E394F" w:rsidP="002C100E">
            <w:pPr>
              <w:pStyle w:val="Listavistosa-nfasis11"/>
              <w:numPr>
                <w:ilvl w:val="0"/>
                <w:numId w:val="8"/>
              </w:numPr>
              <w:autoSpaceDE w:val="0"/>
              <w:autoSpaceDN w:val="0"/>
              <w:adjustRightInd w:val="0"/>
              <w:spacing w:after="0" w:line="240" w:lineRule="auto"/>
              <w:jc w:val="both"/>
              <w:rPr>
                <w:rFonts w:cs="Calibri"/>
                <w:color w:val="000000"/>
                <w:lang w:val="en-US"/>
              </w:rPr>
            </w:pPr>
            <w:r w:rsidRPr="004E394F">
              <w:rPr>
                <w:rFonts w:asciiTheme="minorHAnsi" w:hAnsiTheme="minorHAnsi" w:cstheme="minorHAnsi"/>
                <w:b/>
                <w:bCs/>
                <w:color w:val="000000"/>
                <w:lang w:val="en-US"/>
              </w:rPr>
              <w:t>Modern Tool Usage:</w:t>
            </w:r>
          </w:p>
          <w:p w:rsidR="0019004F" w:rsidRPr="004E394F" w:rsidRDefault="0019004F" w:rsidP="004E394F">
            <w:pPr>
              <w:autoSpaceDE w:val="0"/>
              <w:autoSpaceDN w:val="0"/>
              <w:adjustRightInd w:val="0"/>
              <w:rPr>
                <w:rFonts w:cs="Calibri"/>
                <w:color w:val="000000"/>
                <w:lang w:val="en-US"/>
              </w:rPr>
            </w:pPr>
            <w:r w:rsidRPr="004E394F">
              <w:rPr>
                <w:rFonts w:cs="Calibri"/>
                <w:b/>
                <w:bCs/>
                <w:lang w:val="en-US"/>
              </w:rPr>
              <w:t>WA5:</w:t>
            </w:r>
            <w:r w:rsidR="004E394F">
              <w:rPr>
                <w:rFonts w:cs="Calibri"/>
                <w:bCs/>
                <w:lang w:val="en-US"/>
              </w:rPr>
              <w:t xml:space="preserve"> </w:t>
            </w:r>
            <w:r w:rsidR="004E394F" w:rsidRPr="009878F1">
              <w:rPr>
                <w:rFonts w:asciiTheme="minorHAnsi" w:hAnsiTheme="minorHAnsi" w:cstheme="minorHAnsi"/>
                <w:color w:val="000000"/>
                <w:lang w:val="en-US"/>
              </w:rPr>
              <w:t xml:space="preserve">Create, select and apply appropriate techniques, resources, and modern engineering and IT tools, including prediction and modeling, to </w:t>
            </w:r>
            <w:r w:rsidR="004E394F" w:rsidRPr="009878F1">
              <w:rPr>
                <w:rFonts w:asciiTheme="minorHAnsi" w:hAnsiTheme="minorHAnsi" w:cstheme="minorHAnsi"/>
                <w:i/>
                <w:iCs/>
                <w:color w:val="000000"/>
                <w:lang w:val="en-US"/>
              </w:rPr>
              <w:t xml:space="preserve">complex </w:t>
            </w:r>
            <w:r w:rsidR="004E394F" w:rsidRPr="009878F1">
              <w:rPr>
                <w:rFonts w:asciiTheme="minorHAnsi" w:hAnsiTheme="minorHAnsi" w:cstheme="minorHAnsi"/>
                <w:color w:val="000000"/>
                <w:lang w:val="en-US"/>
              </w:rPr>
              <w:t>engineering problems, with an u</w:t>
            </w:r>
            <w:r w:rsidR="004E394F">
              <w:rPr>
                <w:rFonts w:asciiTheme="minorHAnsi" w:hAnsiTheme="minorHAnsi" w:cstheme="minorHAnsi"/>
                <w:color w:val="000000"/>
                <w:lang w:val="en-US"/>
              </w:rPr>
              <w:t>nderstanding of the limitations</w:t>
            </w:r>
            <w:r w:rsidR="004E394F" w:rsidRPr="009878F1">
              <w:rPr>
                <w:rFonts w:asciiTheme="minorHAnsi" w:hAnsiTheme="minorHAnsi" w:cstheme="minorHAnsi"/>
                <w:color w:val="000000"/>
                <w:lang w:val="en-US"/>
              </w:rPr>
              <w:t xml:space="preserve"> (WK6)</w:t>
            </w:r>
            <w:r w:rsidR="004E394F">
              <w:rPr>
                <w:rFonts w:asciiTheme="minorHAnsi" w:hAnsiTheme="minorHAnsi" w:cstheme="minorHAnsi"/>
                <w:color w:val="000000"/>
                <w:lang w:val="en-US"/>
              </w:rPr>
              <w:t>.</w:t>
            </w:r>
          </w:p>
        </w:tc>
      </w:tr>
      <w:tr w:rsidR="004E394F" w:rsidRPr="00D12F9E" w:rsidTr="002C100E">
        <w:tc>
          <w:tcPr>
            <w:tcW w:w="4489" w:type="dxa"/>
            <w:shd w:val="clear" w:color="auto" w:fill="auto"/>
          </w:tcPr>
          <w:p w:rsidR="004E394F" w:rsidRPr="004E394F" w:rsidRDefault="004E394F" w:rsidP="005319F3">
            <w:pPr>
              <w:rPr>
                <w:rFonts w:cs="Calibri"/>
                <w:i/>
                <w:sz w:val="18"/>
                <w:lang w:val="en-US"/>
              </w:rPr>
            </w:pPr>
            <w:r w:rsidRPr="004E394F">
              <w:rPr>
                <w:rFonts w:cs="Calibri"/>
                <w:i/>
                <w:sz w:val="18"/>
                <w:lang w:val="en-US"/>
              </w:rPr>
              <w:t>The learning process should allow graduates to demonstrate:</w:t>
            </w:r>
          </w:p>
        </w:tc>
        <w:tc>
          <w:tcPr>
            <w:tcW w:w="4489" w:type="dxa"/>
            <w:shd w:val="clear" w:color="auto" w:fill="auto"/>
          </w:tcPr>
          <w:p w:rsidR="004E394F" w:rsidRPr="004E394F" w:rsidRDefault="004E394F" w:rsidP="005319F3">
            <w:pPr>
              <w:jc w:val="both"/>
              <w:rPr>
                <w:rFonts w:cs="Calibri"/>
                <w:b/>
                <w:i/>
                <w:sz w:val="18"/>
                <w:lang w:val="en-US"/>
              </w:rPr>
            </w:pPr>
            <w:r>
              <w:rPr>
                <w:rFonts w:cs="Calibri"/>
                <w:b/>
                <w:i/>
                <w:sz w:val="18"/>
                <w:lang w:val="en-US"/>
              </w:rPr>
              <w:t>Explain</w:t>
            </w:r>
            <w:r w:rsidRPr="004E394F">
              <w:rPr>
                <w:rFonts w:cs="Calibri"/>
                <w:b/>
                <w:i/>
                <w:sz w:val="18"/>
                <w:lang w:val="en-US"/>
              </w:rPr>
              <w:t xml:space="preserve">/detail the competencies or learning outcomes of the subjects of the </w:t>
            </w:r>
            <w:r>
              <w:rPr>
                <w:rFonts w:cs="Calibri"/>
                <w:b/>
                <w:i/>
                <w:sz w:val="18"/>
                <w:lang w:val="en-US"/>
              </w:rPr>
              <w:t>curriculum</w:t>
            </w:r>
            <w:r w:rsidRPr="004E394F">
              <w:rPr>
                <w:rFonts w:cs="Calibri"/>
                <w:b/>
                <w:i/>
                <w:sz w:val="18"/>
                <w:lang w:val="en-US"/>
              </w:rPr>
              <w:t xml:space="preserve"> that are oriented towards achieving the results indicated for this attribute.</w:t>
            </w:r>
          </w:p>
        </w:tc>
      </w:tr>
      <w:tr w:rsidR="00F64BF1" w:rsidRPr="00D12F9E" w:rsidTr="00931400">
        <w:trPr>
          <w:trHeight w:val="1104"/>
        </w:trPr>
        <w:tc>
          <w:tcPr>
            <w:tcW w:w="4489" w:type="dxa"/>
            <w:shd w:val="clear" w:color="auto" w:fill="auto"/>
          </w:tcPr>
          <w:p w:rsidR="00F64BF1" w:rsidRPr="004E394F" w:rsidRDefault="00F64BF1" w:rsidP="004E394F">
            <w:pPr>
              <w:autoSpaceDE w:val="0"/>
              <w:autoSpaceDN w:val="0"/>
              <w:adjustRightInd w:val="0"/>
              <w:rPr>
                <w:rFonts w:cs="Calibri"/>
                <w:b/>
                <w:bCs/>
                <w:color w:val="000000"/>
                <w:lang w:val="en-US"/>
              </w:rPr>
            </w:pPr>
            <w:r w:rsidRPr="004E394F">
              <w:rPr>
                <w:rFonts w:cs="Calibri"/>
                <w:b/>
                <w:bCs/>
                <w:lang w:val="en-US"/>
              </w:rPr>
              <w:lastRenderedPageBreak/>
              <w:t>WK6:</w:t>
            </w:r>
            <w:r w:rsidR="004E394F">
              <w:rPr>
                <w:rFonts w:cs="Calibri"/>
                <w:lang w:val="en-US"/>
              </w:rPr>
              <w:t xml:space="preserve"> </w:t>
            </w:r>
            <w:r w:rsidR="004E394F">
              <w:rPr>
                <w:lang w:val="en-US"/>
              </w:rPr>
              <w:t xml:space="preserve">Knowledge of </w:t>
            </w:r>
            <w:r w:rsidR="004E394F" w:rsidRPr="00C070CB">
              <w:rPr>
                <w:b/>
                <w:lang w:val="en-US"/>
              </w:rPr>
              <w:t>engineering practice</w:t>
            </w:r>
            <w:r w:rsidR="004E394F">
              <w:rPr>
                <w:lang w:val="en-US"/>
              </w:rPr>
              <w:t xml:space="preserve"> (technology) in the practice areas in the engineering discipline. </w:t>
            </w:r>
          </w:p>
        </w:tc>
        <w:tc>
          <w:tcPr>
            <w:tcW w:w="4489" w:type="dxa"/>
            <w:shd w:val="clear" w:color="auto" w:fill="auto"/>
          </w:tcPr>
          <w:p w:rsidR="00F64BF1" w:rsidRPr="004E394F" w:rsidRDefault="00F64BF1" w:rsidP="002C100E">
            <w:pPr>
              <w:jc w:val="both"/>
              <w:rPr>
                <w:rFonts w:cs="Calibri"/>
                <w:b/>
                <w:lang w:val="en-US"/>
              </w:rPr>
            </w:pPr>
          </w:p>
        </w:tc>
      </w:tr>
      <w:tr w:rsidR="0019004F" w:rsidRPr="00D12F9E" w:rsidTr="00CD2F42">
        <w:tc>
          <w:tcPr>
            <w:tcW w:w="8978" w:type="dxa"/>
            <w:gridSpan w:val="2"/>
            <w:shd w:val="clear" w:color="auto" w:fill="DEEAF6"/>
          </w:tcPr>
          <w:p w:rsidR="0019004F" w:rsidRPr="004E394F" w:rsidRDefault="004E394F" w:rsidP="002C100E">
            <w:pPr>
              <w:pStyle w:val="Listavistosa-nfasis11"/>
              <w:numPr>
                <w:ilvl w:val="0"/>
                <w:numId w:val="8"/>
              </w:numPr>
              <w:autoSpaceDE w:val="0"/>
              <w:autoSpaceDN w:val="0"/>
              <w:adjustRightInd w:val="0"/>
              <w:spacing w:after="0" w:line="240" w:lineRule="auto"/>
              <w:rPr>
                <w:rFonts w:cs="Calibri"/>
                <w:bCs/>
                <w:color w:val="000000"/>
                <w:lang w:val="en-US"/>
              </w:rPr>
            </w:pPr>
            <w:r w:rsidRPr="009878F1">
              <w:rPr>
                <w:rFonts w:asciiTheme="minorHAnsi" w:hAnsiTheme="minorHAnsi" w:cstheme="minorHAnsi"/>
                <w:b/>
                <w:bCs/>
                <w:color w:val="000000"/>
                <w:lang w:val="en-US"/>
              </w:rPr>
              <w:t>The Engineer and Society:</w:t>
            </w:r>
          </w:p>
          <w:p w:rsidR="0019004F" w:rsidRPr="004E394F" w:rsidRDefault="0019004F" w:rsidP="004E394F">
            <w:pPr>
              <w:autoSpaceDE w:val="0"/>
              <w:autoSpaceDN w:val="0"/>
              <w:adjustRightInd w:val="0"/>
              <w:rPr>
                <w:rFonts w:cs="Calibri"/>
                <w:color w:val="000000"/>
                <w:lang w:val="en-US"/>
              </w:rPr>
            </w:pPr>
            <w:r w:rsidRPr="004E394F">
              <w:rPr>
                <w:rFonts w:cs="Calibri"/>
                <w:b/>
                <w:bCs/>
                <w:lang w:val="en-US"/>
              </w:rPr>
              <w:t>WA6:</w:t>
            </w:r>
            <w:r w:rsidR="004E394F">
              <w:rPr>
                <w:rFonts w:cs="Calibri"/>
                <w:lang w:val="en-US"/>
              </w:rPr>
              <w:t xml:space="preserve"> </w:t>
            </w:r>
            <w:r w:rsidR="004E394F" w:rsidRPr="009878F1">
              <w:rPr>
                <w:rFonts w:asciiTheme="minorHAnsi" w:hAnsiTheme="minorHAnsi" w:cstheme="minorHAnsi"/>
                <w:bCs/>
                <w:color w:val="000000"/>
                <w:lang w:val="en-US"/>
              </w:rPr>
              <w:t xml:space="preserve">Apply reasoning informed by contextual knowledge to assess societal, health, safety, legal and cultural issues and the consequent responsibilities relevant to professional engineering practice and solutions </w:t>
            </w:r>
            <w:r w:rsidR="004E394F">
              <w:rPr>
                <w:rFonts w:asciiTheme="minorHAnsi" w:hAnsiTheme="minorHAnsi" w:cstheme="minorHAnsi"/>
                <w:bCs/>
                <w:color w:val="000000"/>
                <w:lang w:val="en-US"/>
              </w:rPr>
              <w:t>to complex engineering problems</w:t>
            </w:r>
            <w:r w:rsidR="004E394F" w:rsidRPr="009878F1">
              <w:rPr>
                <w:rFonts w:asciiTheme="minorHAnsi" w:hAnsiTheme="minorHAnsi" w:cstheme="minorHAnsi"/>
                <w:bCs/>
                <w:color w:val="000000"/>
                <w:lang w:val="en-US"/>
              </w:rPr>
              <w:t xml:space="preserve"> (WK7)</w:t>
            </w:r>
            <w:r w:rsidR="004E394F">
              <w:rPr>
                <w:rFonts w:asciiTheme="minorHAnsi" w:hAnsiTheme="minorHAnsi" w:cstheme="minorHAnsi"/>
                <w:bCs/>
                <w:color w:val="000000"/>
                <w:lang w:val="en-US"/>
              </w:rPr>
              <w:t>.</w:t>
            </w:r>
          </w:p>
        </w:tc>
      </w:tr>
      <w:tr w:rsidR="004E394F" w:rsidRPr="00D12F9E" w:rsidTr="002C100E">
        <w:tc>
          <w:tcPr>
            <w:tcW w:w="4489" w:type="dxa"/>
            <w:shd w:val="clear" w:color="auto" w:fill="auto"/>
          </w:tcPr>
          <w:p w:rsidR="004E394F" w:rsidRPr="004E394F" w:rsidRDefault="004E394F" w:rsidP="005319F3">
            <w:pPr>
              <w:rPr>
                <w:rFonts w:cs="Calibri"/>
                <w:i/>
                <w:sz w:val="18"/>
                <w:lang w:val="en-US"/>
              </w:rPr>
            </w:pPr>
            <w:r w:rsidRPr="004E394F">
              <w:rPr>
                <w:rFonts w:cs="Calibri"/>
                <w:i/>
                <w:sz w:val="18"/>
                <w:lang w:val="en-US"/>
              </w:rPr>
              <w:t>The learning process should allow graduates to demonstrate:</w:t>
            </w:r>
          </w:p>
        </w:tc>
        <w:tc>
          <w:tcPr>
            <w:tcW w:w="4489" w:type="dxa"/>
            <w:shd w:val="clear" w:color="auto" w:fill="auto"/>
          </w:tcPr>
          <w:p w:rsidR="004E394F" w:rsidRPr="004E394F" w:rsidRDefault="004E394F" w:rsidP="005319F3">
            <w:pPr>
              <w:jc w:val="both"/>
              <w:rPr>
                <w:rFonts w:cs="Calibri"/>
                <w:b/>
                <w:i/>
                <w:sz w:val="18"/>
                <w:lang w:val="en-US"/>
              </w:rPr>
            </w:pPr>
            <w:r>
              <w:rPr>
                <w:rFonts w:cs="Calibri"/>
                <w:b/>
                <w:i/>
                <w:sz w:val="18"/>
                <w:lang w:val="en-US"/>
              </w:rPr>
              <w:t>Explain</w:t>
            </w:r>
            <w:r w:rsidRPr="004E394F">
              <w:rPr>
                <w:rFonts w:cs="Calibri"/>
                <w:b/>
                <w:i/>
                <w:sz w:val="18"/>
                <w:lang w:val="en-US"/>
              </w:rPr>
              <w:t xml:space="preserve">/detail the competencies or learning outcomes of the subjects of the </w:t>
            </w:r>
            <w:r>
              <w:rPr>
                <w:rFonts w:cs="Calibri"/>
                <w:b/>
                <w:i/>
                <w:sz w:val="18"/>
                <w:lang w:val="en-US"/>
              </w:rPr>
              <w:t>curriculum</w:t>
            </w:r>
            <w:r w:rsidRPr="004E394F">
              <w:rPr>
                <w:rFonts w:cs="Calibri"/>
                <w:b/>
                <w:i/>
                <w:sz w:val="18"/>
                <w:lang w:val="en-US"/>
              </w:rPr>
              <w:t xml:space="preserve"> that are oriented towards achieving the results indicated for this attribute.</w:t>
            </w:r>
          </w:p>
        </w:tc>
      </w:tr>
      <w:tr w:rsidR="00F64BF1" w:rsidRPr="00D12F9E" w:rsidTr="00FE0725">
        <w:trPr>
          <w:trHeight w:val="2148"/>
        </w:trPr>
        <w:tc>
          <w:tcPr>
            <w:tcW w:w="4489" w:type="dxa"/>
            <w:shd w:val="clear" w:color="auto" w:fill="auto"/>
          </w:tcPr>
          <w:p w:rsidR="00F64BF1" w:rsidRPr="004E394F" w:rsidRDefault="00F64BF1" w:rsidP="004E394F">
            <w:pPr>
              <w:autoSpaceDE w:val="0"/>
              <w:autoSpaceDN w:val="0"/>
              <w:adjustRightInd w:val="0"/>
              <w:rPr>
                <w:rFonts w:cs="Calibri"/>
                <w:b/>
                <w:bCs/>
                <w:color w:val="000000"/>
                <w:lang w:val="en-US"/>
              </w:rPr>
            </w:pPr>
            <w:r w:rsidRPr="004E394F">
              <w:rPr>
                <w:rFonts w:cs="Calibri"/>
                <w:b/>
                <w:bCs/>
                <w:lang w:val="en-US"/>
              </w:rPr>
              <w:t>WK7:</w:t>
            </w:r>
            <w:r w:rsidR="004E394F">
              <w:rPr>
                <w:rFonts w:cs="Calibri"/>
                <w:b/>
                <w:lang w:val="en-US"/>
              </w:rPr>
              <w:t xml:space="preserve"> </w:t>
            </w:r>
            <w:r w:rsidR="004E394F" w:rsidRPr="00C070CB">
              <w:rPr>
                <w:b/>
                <w:lang w:val="en-US"/>
              </w:rPr>
              <w:t>Comprehension of</w:t>
            </w:r>
            <w:r w:rsidR="004E394F">
              <w:rPr>
                <w:lang w:val="en-US"/>
              </w:rPr>
              <w:t xml:space="preserve"> the role of engineering in society and identified issues in engineering practice in the discipline: ethics and the professional responsibility of an engineer to public safety; the impacts of engineering activity: economic, social, cultural, environmental and sustainability.</w:t>
            </w:r>
          </w:p>
        </w:tc>
        <w:tc>
          <w:tcPr>
            <w:tcW w:w="4489" w:type="dxa"/>
            <w:shd w:val="clear" w:color="auto" w:fill="auto"/>
          </w:tcPr>
          <w:p w:rsidR="00F64BF1" w:rsidRPr="004E394F" w:rsidRDefault="00F64BF1" w:rsidP="002C100E">
            <w:pPr>
              <w:jc w:val="both"/>
              <w:rPr>
                <w:rFonts w:cs="Calibri"/>
                <w:b/>
                <w:lang w:val="en-US"/>
              </w:rPr>
            </w:pPr>
          </w:p>
        </w:tc>
      </w:tr>
      <w:tr w:rsidR="0019004F" w:rsidRPr="00D12F9E" w:rsidTr="00CD2F42">
        <w:tc>
          <w:tcPr>
            <w:tcW w:w="8978" w:type="dxa"/>
            <w:gridSpan w:val="2"/>
            <w:shd w:val="clear" w:color="auto" w:fill="DEEAF6"/>
          </w:tcPr>
          <w:p w:rsidR="0019004F" w:rsidRPr="004E394F" w:rsidRDefault="004E394F" w:rsidP="002C100E">
            <w:pPr>
              <w:pStyle w:val="Listavistosa-nfasis11"/>
              <w:numPr>
                <w:ilvl w:val="0"/>
                <w:numId w:val="8"/>
              </w:numPr>
              <w:autoSpaceDE w:val="0"/>
              <w:autoSpaceDN w:val="0"/>
              <w:adjustRightInd w:val="0"/>
              <w:spacing w:after="0" w:line="240" w:lineRule="auto"/>
              <w:rPr>
                <w:rFonts w:cs="Calibri"/>
                <w:bCs/>
                <w:color w:val="000000"/>
                <w:lang w:val="en-US"/>
              </w:rPr>
            </w:pPr>
            <w:r w:rsidRPr="009878F1">
              <w:rPr>
                <w:rFonts w:asciiTheme="minorHAnsi" w:hAnsiTheme="minorHAnsi" w:cstheme="minorHAnsi"/>
                <w:b/>
                <w:bCs/>
                <w:color w:val="000000"/>
                <w:lang w:val="en-US"/>
              </w:rPr>
              <w:t>Environment and Sustainability:</w:t>
            </w:r>
          </w:p>
          <w:p w:rsidR="0019004F" w:rsidRPr="004E394F" w:rsidRDefault="0019004F" w:rsidP="004E394F">
            <w:pPr>
              <w:autoSpaceDE w:val="0"/>
              <w:autoSpaceDN w:val="0"/>
              <w:adjustRightInd w:val="0"/>
              <w:rPr>
                <w:rFonts w:cs="Calibri"/>
                <w:color w:val="000000"/>
                <w:lang w:val="en-US"/>
              </w:rPr>
            </w:pPr>
            <w:r w:rsidRPr="004E394F">
              <w:rPr>
                <w:rFonts w:cs="Calibri"/>
                <w:b/>
                <w:bCs/>
                <w:lang w:val="en-US"/>
              </w:rPr>
              <w:t>WA7:</w:t>
            </w:r>
            <w:r w:rsidR="004E394F">
              <w:rPr>
                <w:rFonts w:cs="Calibri"/>
                <w:spacing w:val="1"/>
                <w:lang w:val="en-US"/>
              </w:rPr>
              <w:t xml:space="preserve"> </w:t>
            </w:r>
            <w:r w:rsidR="004E394F" w:rsidRPr="009878F1">
              <w:rPr>
                <w:rFonts w:asciiTheme="minorHAnsi" w:hAnsiTheme="minorHAnsi" w:cstheme="minorHAnsi"/>
                <w:bCs/>
                <w:color w:val="000000"/>
                <w:lang w:val="en-US"/>
              </w:rPr>
              <w:t>Understand and evaluate the sustainability and impact of professional engineering work in the solution of complex engineering problems in soci</w:t>
            </w:r>
            <w:r w:rsidR="004E394F">
              <w:rPr>
                <w:rFonts w:asciiTheme="minorHAnsi" w:hAnsiTheme="minorHAnsi" w:cstheme="minorHAnsi"/>
                <w:bCs/>
                <w:color w:val="000000"/>
                <w:lang w:val="en-US"/>
              </w:rPr>
              <w:t>etal and environmental contexts</w:t>
            </w:r>
            <w:r w:rsidR="004E394F" w:rsidRPr="009878F1">
              <w:rPr>
                <w:rFonts w:asciiTheme="minorHAnsi" w:hAnsiTheme="minorHAnsi" w:cstheme="minorHAnsi"/>
                <w:bCs/>
                <w:color w:val="000000"/>
                <w:lang w:val="en-US"/>
              </w:rPr>
              <w:t xml:space="preserve"> (WK7)</w:t>
            </w:r>
            <w:r w:rsidR="004E394F">
              <w:rPr>
                <w:rFonts w:asciiTheme="minorHAnsi" w:hAnsiTheme="minorHAnsi" w:cstheme="minorHAnsi"/>
                <w:bCs/>
                <w:color w:val="000000"/>
                <w:lang w:val="en-US"/>
              </w:rPr>
              <w:t>.</w:t>
            </w:r>
          </w:p>
        </w:tc>
      </w:tr>
      <w:tr w:rsidR="004E394F" w:rsidRPr="00D12F9E" w:rsidTr="00FD1CEC">
        <w:tc>
          <w:tcPr>
            <w:tcW w:w="4489" w:type="dxa"/>
            <w:shd w:val="clear" w:color="auto" w:fill="auto"/>
          </w:tcPr>
          <w:p w:rsidR="004E394F" w:rsidRPr="004E394F" w:rsidRDefault="004E394F" w:rsidP="005319F3">
            <w:pPr>
              <w:rPr>
                <w:rFonts w:cs="Calibri"/>
                <w:i/>
                <w:sz w:val="18"/>
                <w:lang w:val="en-US"/>
              </w:rPr>
            </w:pPr>
            <w:r w:rsidRPr="004E394F">
              <w:rPr>
                <w:rFonts w:cs="Calibri"/>
                <w:i/>
                <w:sz w:val="18"/>
                <w:lang w:val="en-US"/>
              </w:rPr>
              <w:t>The learning process should allow graduates to demonstrate:</w:t>
            </w:r>
          </w:p>
        </w:tc>
        <w:tc>
          <w:tcPr>
            <w:tcW w:w="4489" w:type="dxa"/>
            <w:shd w:val="clear" w:color="auto" w:fill="auto"/>
          </w:tcPr>
          <w:p w:rsidR="004E394F" w:rsidRPr="004E394F" w:rsidRDefault="004E394F" w:rsidP="005319F3">
            <w:pPr>
              <w:jc w:val="both"/>
              <w:rPr>
                <w:rFonts w:cs="Calibri"/>
                <w:b/>
                <w:i/>
                <w:sz w:val="18"/>
                <w:lang w:val="en-US"/>
              </w:rPr>
            </w:pPr>
            <w:r>
              <w:rPr>
                <w:rFonts w:cs="Calibri"/>
                <w:b/>
                <w:i/>
                <w:sz w:val="18"/>
                <w:lang w:val="en-US"/>
              </w:rPr>
              <w:t>Explain</w:t>
            </w:r>
            <w:r w:rsidRPr="004E394F">
              <w:rPr>
                <w:rFonts w:cs="Calibri"/>
                <w:b/>
                <w:i/>
                <w:sz w:val="18"/>
                <w:lang w:val="en-US"/>
              </w:rPr>
              <w:t xml:space="preserve">/detail the competencies or learning outcomes of the subjects of the </w:t>
            </w:r>
            <w:r>
              <w:rPr>
                <w:rFonts w:cs="Calibri"/>
                <w:b/>
                <w:i/>
                <w:sz w:val="18"/>
                <w:lang w:val="en-US"/>
              </w:rPr>
              <w:t>curriculum</w:t>
            </w:r>
            <w:r w:rsidRPr="004E394F">
              <w:rPr>
                <w:rFonts w:cs="Calibri"/>
                <w:b/>
                <w:i/>
                <w:sz w:val="18"/>
                <w:lang w:val="en-US"/>
              </w:rPr>
              <w:t xml:space="preserve"> that are oriented towards achieving the results indicated for this attribute.</w:t>
            </w:r>
          </w:p>
        </w:tc>
      </w:tr>
      <w:tr w:rsidR="00F64BF1" w:rsidRPr="00D12F9E" w:rsidTr="005C53A6">
        <w:trPr>
          <w:trHeight w:val="2417"/>
        </w:trPr>
        <w:tc>
          <w:tcPr>
            <w:tcW w:w="4489" w:type="dxa"/>
            <w:shd w:val="clear" w:color="auto" w:fill="auto"/>
          </w:tcPr>
          <w:p w:rsidR="00F64BF1" w:rsidRPr="004E394F" w:rsidRDefault="004E394F" w:rsidP="002C100E">
            <w:pPr>
              <w:autoSpaceDE w:val="0"/>
              <w:autoSpaceDN w:val="0"/>
              <w:adjustRightInd w:val="0"/>
              <w:jc w:val="both"/>
              <w:rPr>
                <w:rFonts w:cs="Calibri"/>
                <w:b/>
                <w:bCs/>
                <w:color w:val="000000"/>
                <w:lang w:val="en-US"/>
              </w:rPr>
            </w:pPr>
            <w:r w:rsidRPr="004E394F">
              <w:rPr>
                <w:rFonts w:cs="Calibri"/>
                <w:b/>
                <w:bCs/>
                <w:lang w:val="en-US"/>
              </w:rPr>
              <w:t>WK7:</w:t>
            </w:r>
            <w:r>
              <w:rPr>
                <w:rFonts w:cs="Calibri"/>
                <w:b/>
                <w:lang w:val="en-US"/>
              </w:rPr>
              <w:t xml:space="preserve"> </w:t>
            </w:r>
            <w:r w:rsidRPr="00C070CB">
              <w:rPr>
                <w:b/>
                <w:lang w:val="en-US"/>
              </w:rPr>
              <w:t>Comprehension of</w:t>
            </w:r>
            <w:r>
              <w:rPr>
                <w:lang w:val="en-US"/>
              </w:rPr>
              <w:t xml:space="preserve"> the role of engineering in society and identified issues in engineering practice in the discipline: ethics and the professional responsibility of an engineer to public safety; the impacts of engineering activity: economic, social, cultural, environmental and sustainability.</w:t>
            </w:r>
          </w:p>
        </w:tc>
        <w:tc>
          <w:tcPr>
            <w:tcW w:w="4489" w:type="dxa"/>
            <w:shd w:val="clear" w:color="auto" w:fill="auto"/>
          </w:tcPr>
          <w:p w:rsidR="00F64BF1" w:rsidRPr="004E394F" w:rsidRDefault="00F64BF1" w:rsidP="002C100E">
            <w:pPr>
              <w:jc w:val="both"/>
              <w:rPr>
                <w:rFonts w:cs="Calibri"/>
                <w:b/>
                <w:lang w:val="en-US"/>
              </w:rPr>
            </w:pPr>
          </w:p>
        </w:tc>
      </w:tr>
      <w:tr w:rsidR="0019004F" w:rsidRPr="00D12F9E" w:rsidTr="00CD2F42">
        <w:tc>
          <w:tcPr>
            <w:tcW w:w="8978" w:type="dxa"/>
            <w:gridSpan w:val="2"/>
            <w:shd w:val="clear" w:color="auto" w:fill="DEEAF6"/>
          </w:tcPr>
          <w:p w:rsidR="0019004F" w:rsidRPr="004E394F" w:rsidRDefault="004E394F" w:rsidP="002C100E">
            <w:pPr>
              <w:pStyle w:val="Listavistosa-nfasis11"/>
              <w:numPr>
                <w:ilvl w:val="0"/>
                <w:numId w:val="8"/>
              </w:numPr>
              <w:autoSpaceDE w:val="0"/>
              <w:autoSpaceDN w:val="0"/>
              <w:adjustRightInd w:val="0"/>
              <w:spacing w:after="0" w:line="240" w:lineRule="auto"/>
              <w:rPr>
                <w:rFonts w:cs="Calibri"/>
                <w:bCs/>
                <w:color w:val="000000"/>
                <w:lang w:val="en-US"/>
              </w:rPr>
            </w:pPr>
            <w:r>
              <w:rPr>
                <w:rFonts w:cs="Calibri"/>
                <w:b/>
                <w:bCs/>
                <w:lang w:val="en-US"/>
              </w:rPr>
              <w:t>Ethics:</w:t>
            </w:r>
          </w:p>
          <w:p w:rsidR="0019004F" w:rsidRPr="004E394F" w:rsidRDefault="0019004F" w:rsidP="004E394F">
            <w:pPr>
              <w:autoSpaceDE w:val="0"/>
              <w:autoSpaceDN w:val="0"/>
              <w:adjustRightInd w:val="0"/>
              <w:rPr>
                <w:rFonts w:cs="Calibri"/>
                <w:color w:val="000000"/>
                <w:lang w:val="en-US"/>
              </w:rPr>
            </w:pPr>
            <w:r w:rsidRPr="004E394F">
              <w:rPr>
                <w:rFonts w:cs="Calibri"/>
                <w:b/>
                <w:bCs/>
                <w:lang w:val="en-US"/>
              </w:rPr>
              <w:t>WA8:</w:t>
            </w:r>
            <w:r w:rsidR="004E394F">
              <w:rPr>
                <w:rFonts w:cs="Calibri"/>
                <w:spacing w:val="1"/>
                <w:lang w:val="en-US"/>
              </w:rPr>
              <w:t xml:space="preserve"> </w:t>
            </w:r>
            <w:r w:rsidR="004E394F" w:rsidRPr="009878F1">
              <w:rPr>
                <w:rFonts w:asciiTheme="minorHAnsi" w:hAnsiTheme="minorHAnsi" w:cstheme="minorHAnsi"/>
                <w:bCs/>
                <w:color w:val="000000"/>
                <w:lang w:val="en-US"/>
              </w:rPr>
              <w:t>Apply ethical principles and commit to professional ethics and responsibilities an</w:t>
            </w:r>
            <w:r w:rsidR="004E394F">
              <w:rPr>
                <w:rFonts w:asciiTheme="minorHAnsi" w:hAnsiTheme="minorHAnsi" w:cstheme="minorHAnsi"/>
                <w:bCs/>
                <w:color w:val="000000"/>
                <w:lang w:val="en-US"/>
              </w:rPr>
              <w:t>d norms of engineering practice</w:t>
            </w:r>
            <w:r w:rsidR="004E394F" w:rsidRPr="009878F1">
              <w:rPr>
                <w:rFonts w:asciiTheme="minorHAnsi" w:hAnsiTheme="minorHAnsi" w:cstheme="minorHAnsi"/>
                <w:bCs/>
                <w:color w:val="000000"/>
                <w:lang w:val="en-US"/>
              </w:rPr>
              <w:t xml:space="preserve"> (WK7)</w:t>
            </w:r>
            <w:r w:rsidR="004E394F">
              <w:rPr>
                <w:rFonts w:asciiTheme="minorHAnsi" w:hAnsiTheme="minorHAnsi" w:cstheme="minorHAnsi"/>
                <w:bCs/>
                <w:color w:val="000000"/>
                <w:lang w:val="en-US"/>
              </w:rPr>
              <w:t>.</w:t>
            </w:r>
          </w:p>
        </w:tc>
      </w:tr>
      <w:tr w:rsidR="004E394F" w:rsidRPr="00D12F9E" w:rsidTr="002C100E">
        <w:tc>
          <w:tcPr>
            <w:tcW w:w="4489" w:type="dxa"/>
            <w:shd w:val="clear" w:color="auto" w:fill="auto"/>
          </w:tcPr>
          <w:p w:rsidR="004E394F" w:rsidRPr="004E394F" w:rsidRDefault="004E394F" w:rsidP="005319F3">
            <w:pPr>
              <w:rPr>
                <w:rFonts w:cs="Calibri"/>
                <w:i/>
                <w:sz w:val="18"/>
                <w:lang w:val="en-US"/>
              </w:rPr>
            </w:pPr>
            <w:r w:rsidRPr="004E394F">
              <w:rPr>
                <w:rFonts w:cs="Calibri"/>
                <w:i/>
                <w:sz w:val="18"/>
                <w:lang w:val="en-US"/>
              </w:rPr>
              <w:t>The learning process should allow graduates to demonstrate:</w:t>
            </w:r>
          </w:p>
        </w:tc>
        <w:tc>
          <w:tcPr>
            <w:tcW w:w="4489" w:type="dxa"/>
            <w:shd w:val="clear" w:color="auto" w:fill="auto"/>
          </w:tcPr>
          <w:p w:rsidR="004E394F" w:rsidRPr="004E394F" w:rsidRDefault="004E394F" w:rsidP="005319F3">
            <w:pPr>
              <w:jc w:val="both"/>
              <w:rPr>
                <w:rFonts w:cs="Calibri"/>
                <w:b/>
                <w:i/>
                <w:sz w:val="18"/>
                <w:lang w:val="en-US"/>
              </w:rPr>
            </w:pPr>
            <w:r>
              <w:rPr>
                <w:rFonts w:cs="Calibri"/>
                <w:b/>
                <w:i/>
                <w:sz w:val="18"/>
                <w:lang w:val="en-US"/>
              </w:rPr>
              <w:t>Explain</w:t>
            </w:r>
            <w:r w:rsidRPr="004E394F">
              <w:rPr>
                <w:rFonts w:cs="Calibri"/>
                <w:b/>
                <w:i/>
                <w:sz w:val="18"/>
                <w:lang w:val="en-US"/>
              </w:rPr>
              <w:t xml:space="preserve">/detail the competencies or learning outcomes of the subjects of the </w:t>
            </w:r>
            <w:r>
              <w:rPr>
                <w:rFonts w:cs="Calibri"/>
                <w:b/>
                <w:i/>
                <w:sz w:val="18"/>
                <w:lang w:val="en-US"/>
              </w:rPr>
              <w:t>curriculum</w:t>
            </w:r>
            <w:r w:rsidRPr="004E394F">
              <w:rPr>
                <w:rFonts w:cs="Calibri"/>
                <w:b/>
                <w:i/>
                <w:sz w:val="18"/>
                <w:lang w:val="en-US"/>
              </w:rPr>
              <w:t xml:space="preserve"> that are oriented towards achieving the results indicated for this attribute.</w:t>
            </w:r>
          </w:p>
        </w:tc>
      </w:tr>
      <w:tr w:rsidR="00F64BF1" w:rsidRPr="00D12F9E" w:rsidTr="00F620A1">
        <w:trPr>
          <w:trHeight w:val="2148"/>
        </w:trPr>
        <w:tc>
          <w:tcPr>
            <w:tcW w:w="4489" w:type="dxa"/>
            <w:shd w:val="clear" w:color="auto" w:fill="auto"/>
          </w:tcPr>
          <w:p w:rsidR="00F64BF1" w:rsidRPr="004E394F" w:rsidRDefault="004E394F" w:rsidP="002C100E">
            <w:pPr>
              <w:autoSpaceDE w:val="0"/>
              <w:autoSpaceDN w:val="0"/>
              <w:adjustRightInd w:val="0"/>
              <w:jc w:val="both"/>
              <w:rPr>
                <w:rFonts w:cs="Calibri"/>
                <w:b/>
                <w:bCs/>
                <w:color w:val="000000"/>
                <w:lang w:val="en-US"/>
              </w:rPr>
            </w:pPr>
            <w:r w:rsidRPr="004E394F">
              <w:rPr>
                <w:rFonts w:cs="Calibri"/>
                <w:b/>
                <w:bCs/>
                <w:lang w:val="en-US"/>
              </w:rPr>
              <w:lastRenderedPageBreak/>
              <w:t>WK7:</w:t>
            </w:r>
            <w:r>
              <w:rPr>
                <w:rFonts w:cs="Calibri"/>
                <w:b/>
                <w:lang w:val="en-US"/>
              </w:rPr>
              <w:t xml:space="preserve"> </w:t>
            </w:r>
            <w:r w:rsidRPr="00C070CB">
              <w:rPr>
                <w:b/>
                <w:lang w:val="en-US"/>
              </w:rPr>
              <w:t>Comprehension of</w:t>
            </w:r>
            <w:r>
              <w:rPr>
                <w:lang w:val="en-US"/>
              </w:rPr>
              <w:t xml:space="preserve"> the role of engineering in society and identified issues in engineering practice in the discipline: ethics and the professional responsibility of an engineer to public safety; the impacts of engineering activity: economic, social, cultural, environmental and sustainability.</w:t>
            </w:r>
          </w:p>
        </w:tc>
        <w:tc>
          <w:tcPr>
            <w:tcW w:w="4489" w:type="dxa"/>
            <w:shd w:val="clear" w:color="auto" w:fill="auto"/>
          </w:tcPr>
          <w:p w:rsidR="00F64BF1" w:rsidRPr="004E394F" w:rsidRDefault="00F64BF1" w:rsidP="002C100E">
            <w:pPr>
              <w:jc w:val="both"/>
              <w:rPr>
                <w:rFonts w:cs="Calibri"/>
                <w:b/>
                <w:lang w:val="en-US"/>
              </w:rPr>
            </w:pPr>
          </w:p>
        </w:tc>
      </w:tr>
      <w:tr w:rsidR="0019004F" w:rsidRPr="00D12F9E" w:rsidTr="00CD2F42">
        <w:tc>
          <w:tcPr>
            <w:tcW w:w="8978" w:type="dxa"/>
            <w:gridSpan w:val="2"/>
            <w:shd w:val="clear" w:color="auto" w:fill="DEEAF6"/>
          </w:tcPr>
          <w:p w:rsidR="0019004F" w:rsidRPr="004E394F" w:rsidRDefault="004E394F" w:rsidP="002C100E">
            <w:pPr>
              <w:pStyle w:val="Listavistosa-nfasis11"/>
              <w:numPr>
                <w:ilvl w:val="0"/>
                <w:numId w:val="8"/>
              </w:numPr>
              <w:autoSpaceDE w:val="0"/>
              <w:autoSpaceDN w:val="0"/>
              <w:adjustRightInd w:val="0"/>
              <w:spacing w:after="0" w:line="240" w:lineRule="auto"/>
              <w:rPr>
                <w:rFonts w:cs="Calibri"/>
                <w:bCs/>
                <w:color w:val="000000"/>
                <w:lang w:val="en-US"/>
              </w:rPr>
            </w:pPr>
            <w:r w:rsidRPr="009878F1">
              <w:rPr>
                <w:rFonts w:asciiTheme="minorHAnsi" w:hAnsiTheme="minorHAnsi" w:cstheme="minorHAnsi"/>
                <w:b/>
                <w:bCs/>
                <w:color w:val="000000"/>
                <w:lang w:val="en-US"/>
              </w:rPr>
              <w:t>Individual and Team work:</w:t>
            </w:r>
          </w:p>
          <w:p w:rsidR="0019004F" w:rsidRPr="004E394F" w:rsidRDefault="0019004F" w:rsidP="004E394F">
            <w:pPr>
              <w:autoSpaceDE w:val="0"/>
              <w:autoSpaceDN w:val="0"/>
              <w:adjustRightInd w:val="0"/>
              <w:rPr>
                <w:rFonts w:cs="Calibri"/>
                <w:color w:val="000000"/>
                <w:lang w:val="en-US"/>
              </w:rPr>
            </w:pPr>
            <w:r w:rsidRPr="004E394F">
              <w:rPr>
                <w:rFonts w:cs="Calibri"/>
                <w:b/>
                <w:bCs/>
                <w:lang w:val="en-US"/>
              </w:rPr>
              <w:t>WA9:</w:t>
            </w:r>
            <w:r w:rsidR="004E394F">
              <w:rPr>
                <w:rFonts w:cs="Calibri"/>
                <w:lang w:val="en-US"/>
              </w:rPr>
              <w:t xml:space="preserve"> </w:t>
            </w:r>
            <w:r w:rsidR="004E394F" w:rsidRPr="009878F1">
              <w:rPr>
                <w:rFonts w:asciiTheme="minorHAnsi" w:hAnsiTheme="minorHAnsi" w:cstheme="minorHAnsi"/>
                <w:bCs/>
                <w:color w:val="000000"/>
                <w:lang w:val="en-US"/>
              </w:rPr>
              <w:t>Function effectively as an individual, and as a member or leader in diverse teams and in multi-disciplinary settings.</w:t>
            </w:r>
          </w:p>
        </w:tc>
      </w:tr>
      <w:tr w:rsidR="004E394F" w:rsidRPr="00D12F9E" w:rsidTr="002C100E">
        <w:tc>
          <w:tcPr>
            <w:tcW w:w="4489" w:type="dxa"/>
            <w:shd w:val="clear" w:color="auto" w:fill="auto"/>
          </w:tcPr>
          <w:p w:rsidR="004E394F" w:rsidRPr="004E394F" w:rsidRDefault="004E394F" w:rsidP="005319F3">
            <w:pPr>
              <w:rPr>
                <w:rFonts w:cs="Calibri"/>
                <w:i/>
                <w:sz w:val="18"/>
                <w:lang w:val="en-US"/>
              </w:rPr>
            </w:pPr>
            <w:r w:rsidRPr="004E394F">
              <w:rPr>
                <w:rFonts w:cs="Calibri"/>
                <w:i/>
                <w:sz w:val="18"/>
                <w:lang w:val="en-US"/>
              </w:rPr>
              <w:t>The learning process should allow graduates to demonstrate:</w:t>
            </w:r>
          </w:p>
        </w:tc>
        <w:tc>
          <w:tcPr>
            <w:tcW w:w="4489" w:type="dxa"/>
            <w:shd w:val="clear" w:color="auto" w:fill="auto"/>
          </w:tcPr>
          <w:p w:rsidR="004E394F" w:rsidRPr="004E394F" w:rsidRDefault="004E394F" w:rsidP="005319F3">
            <w:pPr>
              <w:jc w:val="both"/>
              <w:rPr>
                <w:rFonts w:cs="Calibri"/>
                <w:b/>
                <w:i/>
                <w:sz w:val="18"/>
                <w:lang w:val="en-US"/>
              </w:rPr>
            </w:pPr>
            <w:r>
              <w:rPr>
                <w:rFonts w:cs="Calibri"/>
                <w:b/>
                <w:i/>
                <w:sz w:val="18"/>
                <w:lang w:val="en-US"/>
              </w:rPr>
              <w:t>Explain</w:t>
            </w:r>
            <w:r w:rsidRPr="004E394F">
              <w:rPr>
                <w:rFonts w:cs="Calibri"/>
                <w:b/>
                <w:i/>
                <w:sz w:val="18"/>
                <w:lang w:val="en-US"/>
              </w:rPr>
              <w:t xml:space="preserve">/detail the competencies or learning outcomes of the subjects of the </w:t>
            </w:r>
            <w:r>
              <w:rPr>
                <w:rFonts w:cs="Calibri"/>
                <w:b/>
                <w:i/>
                <w:sz w:val="18"/>
                <w:lang w:val="en-US"/>
              </w:rPr>
              <w:t>curriculum</w:t>
            </w:r>
            <w:r w:rsidRPr="004E394F">
              <w:rPr>
                <w:rFonts w:cs="Calibri"/>
                <w:b/>
                <w:i/>
                <w:sz w:val="18"/>
                <w:lang w:val="en-US"/>
              </w:rPr>
              <w:t xml:space="preserve"> that are oriented towards achieving the results indicated for this attribute.</w:t>
            </w:r>
          </w:p>
        </w:tc>
      </w:tr>
      <w:tr w:rsidR="00F64BF1" w:rsidRPr="00D12F9E" w:rsidTr="00973696">
        <w:trPr>
          <w:trHeight w:val="1104"/>
        </w:trPr>
        <w:tc>
          <w:tcPr>
            <w:tcW w:w="4489" w:type="dxa"/>
            <w:shd w:val="clear" w:color="auto" w:fill="auto"/>
          </w:tcPr>
          <w:p w:rsidR="00F64BF1" w:rsidRPr="004E394F" w:rsidRDefault="004E394F" w:rsidP="002C100E">
            <w:pPr>
              <w:autoSpaceDE w:val="0"/>
              <w:autoSpaceDN w:val="0"/>
              <w:adjustRightInd w:val="0"/>
              <w:jc w:val="both"/>
              <w:rPr>
                <w:rFonts w:cs="Calibri"/>
                <w:b/>
                <w:bCs/>
                <w:color w:val="000000"/>
                <w:lang w:val="en-US"/>
              </w:rPr>
            </w:pPr>
            <w:r w:rsidRPr="009878F1">
              <w:rPr>
                <w:rFonts w:asciiTheme="minorHAnsi" w:hAnsiTheme="minorHAnsi" w:cstheme="minorHAnsi"/>
                <w:bCs/>
                <w:color w:val="000000"/>
                <w:lang w:val="en-US"/>
              </w:rPr>
              <w:t>Function effectively as an individual, and as a member or leader in diverse teams and in multi-disciplinary settings.</w:t>
            </w:r>
          </w:p>
        </w:tc>
        <w:tc>
          <w:tcPr>
            <w:tcW w:w="4489" w:type="dxa"/>
            <w:shd w:val="clear" w:color="auto" w:fill="auto"/>
          </w:tcPr>
          <w:p w:rsidR="00F64BF1" w:rsidRPr="004E394F" w:rsidRDefault="00F64BF1" w:rsidP="002C100E">
            <w:pPr>
              <w:jc w:val="both"/>
              <w:rPr>
                <w:rFonts w:cs="Calibri"/>
                <w:b/>
                <w:lang w:val="en-US"/>
              </w:rPr>
            </w:pPr>
          </w:p>
        </w:tc>
      </w:tr>
      <w:tr w:rsidR="0019004F" w:rsidRPr="00D12F9E" w:rsidTr="00CD2F42">
        <w:tc>
          <w:tcPr>
            <w:tcW w:w="8978" w:type="dxa"/>
            <w:gridSpan w:val="2"/>
            <w:shd w:val="clear" w:color="auto" w:fill="DEEAF6"/>
          </w:tcPr>
          <w:p w:rsidR="0019004F" w:rsidRPr="004E394F" w:rsidRDefault="0019004F" w:rsidP="002C100E">
            <w:pPr>
              <w:pStyle w:val="Listavistosa-nfasis11"/>
              <w:numPr>
                <w:ilvl w:val="0"/>
                <w:numId w:val="8"/>
              </w:numPr>
              <w:autoSpaceDE w:val="0"/>
              <w:autoSpaceDN w:val="0"/>
              <w:adjustRightInd w:val="0"/>
              <w:spacing w:after="0" w:line="240" w:lineRule="auto"/>
              <w:rPr>
                <w:rFonts w:cs="Calibri"/>
                <w:bCs/>
                <w:color w:val="000000"/>
                <w:lang w:val="en-US"/>
              </w:rPr>
            </w:pPr>
            <w:r w:rsidRPr="004E394F">
              <w:rPr>
                <w:rFonts w:cs="Calibri"/>
                <w:b/>
                <w:bCs/>
                <w:lang w:val="en-US"/>
              </w:rPr>
              <w:t>Com</w:t>
            </w:r>
            <w:r w:rsidR="004E394F" w:rsidRPr="004E394F">
              <w:rPr>
                <w:rFonts w:cs="Calibri"/>
                <w:b/>
                <w:bCs/>
                <w:spacing w:val="-1"/>
                <w:lang w:val="en-US"/>
              </w:rPr>
              <w:t>munication</w:t>
            </w:r>
            <w:r w:rsidRPr="004E394F">
              <w:rPr>
                <w:rFonts w:cs="Calibri"/>
                <w:b/>
                <w:bCs/>
                <w:lang w:val="en-US"/>
              </w:rPr>
              <w:t xml:space="preserve">: </w:t>
            </w:r>
          </w:p>
          <w:p w:rsidR="0019004F" w:rsidRPr="004E394F" w:rsidRDefault="0019004F" w:rsidP="004E394F">
            <w:pPr>
              <w:autoSpaceDE w:val="0"/>
              <w:autoSpaceDN w:val="0"/>
              <w:adjustRightInd w:val="0"/>
              <w:jc w:val="both"/>
              <w:rPr>
                <w:rFonts w:cs="Calibri"/>
                <w:color w:val="000000"/>
                <w:lang w:val="en-US"/>
              </w:rPr>
            </w:pPr>
            <w:r w:rsidRPr="004E394F">
              <w:rPr>
                <w:rFonts w:cs="Calibri"/>
                <w:b/>
                <w:bCs/>
                <w:lang w:val="en-US"/>
              </w:rPr>
              <w:t>WA10:</w:t>
            </w:r>
            <w:r w:rsidR="004E394F">
              <w:rPr>
                <w:rFonts w:cs="Calibri"/>
                <w:lang w:val="en-US"/>
              </w:rPr>
              <w:t xml:space="preserve"> </w:t>
            </w:r>
            <w:r w:rsidR="004E394F" w:rsidRPr="009878F1">
              <w:rPr>
                <w:rFonts w:asciiTheme="minorHAnsi" w:hAnsiTheme="minorHAnsi" w:cstheme="minorHAnsi"/>
                <w:bCs/>
                <w:color w:val="000000"/>
                <w:lang w:val="en-US"/>
              </w:rPr>
              <w:t>Communicate effectively on complex engineering activities with the engineering community and with society at large, such as being able to comprehend and write effective reports and design documentation, make effective presentations, and give and receive clear instructions.</w:t>
            </w:r>
          </w:p>
        </w:tc>
      </w:tr>
      <w:tr w:rsidR="004E394F" w:rsidRPr="00D12F9E" w:rsidTr="002C100E">
        <w:tc>
          <w:tcPr>
            <w:tcW w:w="4489" w:type="dxa"/>
            <w:shd w:val="clear" w:color="auto" w:fill="auto"/>
          </w:tcPr>
          <w:p w:rsidR="004E394F" w:rsidRPr="004E394F" w:rsidRDefault="004E394F" w:rsidP="005319F3">
            <w:pPr>
              <w:rPr>
                <w:rFonts w:cs="Calibri"/>
                <w:i/>
                <w:sz w:val="18"/>
                <w:lang w:val="en-US"/>
              </w:rPr>
            </w:pPr>
            <w:r w:rsidRPr="004E394F">
              <w:rPr>
                <w:rFonts w:cs="Calibri"/>
                <w:i/>
                <w:sz w:val="18"/>
                <w:lang w:val="en-US"/>
              </w:rPr>
              <w:t>The learning process should allow graduates to demonstrate:</w:t>
            </w:r>
          </w:p>
        </w:tc>
        <w:tc>
          <w:tcPr>
            <w:tcW w:w="4489" w:type="dxa"/>
            <w:shd w:val="clear" w:color="auto" w:fill="auto"/>
          </w:tcPr>
          <w:p w:rsidR="004E394F" w:rsidRPr="004E394F" w:rsidRDefault="004E394F" w:rsidP="005319F3">
            <w:pPr>
              <w:jc w:val="both"/>
              <w:rPr>
                <w:rFonts w:cs="Calibri"/>
                <w:b/>
                <w:i/>
                <w:sz w:val="18"/>
                <w:lang w:val="en-US"/>
              </w:rPr>
            </w:pPr>
            <w:r>
              <w:rPr>
                <w:rFonts w:cs="Calibri"/>
                <w:b/>
                <w:i/>
                <w:sz w:val="18"/>
                <w:lang w:val="en-US"/>
              </w:rPr>
              <w:t>Explain</w:t>
            </w:r>
            <w:r w:rsidRPr="004E394F">
              <w:rPr>
                <w:rFonts w:cs="Calibri"/>
                <w:b/>
                <w:i/>
                <w:sz w:val="18"/>
                <w:lang w:val="en-US"/>
              </w:rPr>
              <w:t xml:space="preserve">/detail the competencies or learning outcomes of the subjects of the </w:t>
            </w:r>
            <w:r>
              <w:rPr>
                <w:rFonts w:cs="Calibri"/>
                <w:b/>
                <w:i/>
                <w:sz w:val="18"/>
                <w:lang w:val="en-US"/>
              </w:rPr>
              <w:t>curriculum</w:t>
            </w:r>
            <w:r w:rsidRPr="004E394F">
              <w:rPr>
                <w:rFonts w:cs="Calibri"/>
                <w:b/>
                <w:i/>
                <w:sz w:val="18"/>
                <w:lang w:val="en-US"/>
              </w:rPr>
              <w:t xml:space="preserve"> that are oriented towards achieving the results indicated for this attribute.</w:t>
            </w:r>
          </w:p>
        </w:tc>
      </w:tr>
      <w:tr w:rsidR="00F64BF1" w:rsidRPr="00D12F9E" w:rsidTr="00440EE6">
        <w:trPr>
          <w:trHeight w:val="1880"/>
        </w:trPr>
        <w:tc>
          <w:tcPr>
            <w:tcW w:w="4489" w:type="dxa"/>
            <w:shd w:val="clear" w:color="auto" w:fill="auto"/>
          </w:tcPr>
          <w:p w:rsidR="00F64BF1" w:rsidRPr="004E394F" w:rsidRDefault="004E394F" w:rsidP="004E394F">
            <w:pPr>
              <w:autoSpaceDE w:val="0"/>
              <w:autoSpaceDN w:val="0"/>
              <w:adjustRightInd w:val="0"/>
              <w:jc w:val="both"/>
              <w:rPr>
                <w:rFonts w:cs="Calibri"/>
                <w:lang w:val="en-US"/>
              </w:rPr>
            </w:pPr>
            <w:r w:rsidRPr="009878F1">
              <w:rPr>
                <w:rFonts w:asciiTheme="minorHAnsi" w:hAnsiTheme="minorHAnsi" w:cstheme="minorHAnsi"/>
                <w:bCs/>
                <w:color w:val="000000"/>
                <w:lang w:val="en-US"/>
              </w:rPr>
              <w:t>Communicate effectively on complex engineering activities with the engineering community and with society at large, such as being able to comprehend and write effective reports and design documentation, make effective presentations, and give and receive clear instructions.</w:t>
            </w:r>
          </w:p>
        </w:tc>
        <w:tc>
          <w:tcPr>
            <w:tcW w:w="4489" w:type="dxa"/>
            <w:shd w:val="clear" w:color="auto" w:fill="auto"/>
          </w:tcPr>
          <w:p w:rsidR="00F64BF1" w:rsidRPr="004E394F" w:rsidRDefault="00F64BF1" w:rsidP="002C100E">
            <w:pPr>
              <w:jc w:val="both"/>
              <w:rPr>
                <w:rFonts w:cs="Calibri"/>
                <w:b/>
                <w:lang w:val="en-US"/>
              </w:rPr>
            </w:pPr>
          </w:p>
        </w:tc>
      </w:tr>
      <w:tr w:rsidR="0019004F" w:rsidRPr="00D12F9E" w:rsidTr="00CD2F42">
        <w:tc>
          <w:tcPr>
            <w:tcW w:w="8978" w:type="dxa"/>
            <w:gridSpan w:val="2"/>
            <w:shd w:val="clear" w:color="auto" w:fill="DEEAF6"/>
          </w:tcPr>
          <w:p w:rsidR="0019004F" w:rsidRPr="004E394F" w:rsidRDefault="004E394F" w:rsidP="002C100E">
            <w:pPr>
              <w:pStyle w:val="Listavistosa-nfasis11"/>
              <w:numPr>
                <w:ilvl w:val="0"/>
                <w:numId w:val="8"/>
              </w:numPr>
              <w:autoSpaceDE w:val="0"/>
              <w:autoSpaceDN w:val="0"/>
              <w:adjustRightInd w:val="0"/>
              <w:spacing w:after="0" w:line="240" w:lineRule="auto"/>
              <w:rPr>
                <w:rFonts w:cs="Calibri"/>
                <w:b/>
                <w:bCs/>
                <w:color w:val="000000"/>
                <w:lang w:val="en-US"/>
              </w:rPr>
            </w:pPr>
            <w:r w:rsidRPr="004E394F">
              <w:rPr>
                <w:rFonts w:asciiTheme="minorHAnsi" w:hAnsiTheme="minorHAnsi" w:cstheme="minorHAnsi"/>
                <w:b/>
                <w:bCs/>
                <w:color w:val="000000"/>
                <w:lang w:val="en-US"/>
              </w:rPr>
              <w:t>Project Management and Finance:</w:t>
            </w:r>
            <w:r w:rsidRPr="004E394F">
              <w:rPr>
                <w:rFonts w:cs="Calibri"/>
                <w:b/>
                <w:lang w:val="en-US"/>
              </w:rPr>
              <w:t xml:space="preserve"> </w:t>
            </w:r>
            <w:r w:rsidR="0019004F" w:rsidRPr="004E394F">
              <w:rPr>
                <w:rFonts w:cs="Calibri"/>
                <w:lang w:val="en-US"/>
              </w:rPr>
              <w:t xml:space="preserve"> </w:t>
            </w:r>
          </w:p>
          <w:p w:rsidR="0019004F" w:rsidRPr="004E394F" w:rsidRDefault="0019004F" w:rsidP="004E394F">
            <w:pPr>
              <w:autoSpaceDE w:val="0"/>
              <w:autoSpaceDN w:val="0"/>
              <w:adjustRightInd w:val="0"/>
              <w:jc w:val="both"/>
              <w:rPr>
                <w:rFonts w:cs="Calibri"/>
                <w:color w:val="000000"/>
                <w:lang w:val="en-US"/>
              </w:rPr>
            </w:pPr>
            <w:r w:rsidRPr="004E394F">
              <w:rPr>
                <w:rFonts w:cs="Calibri"/>
                <w:b/>
                <w:bCs/>
                <w:lang w:val="en-US"/>
              </w:rPr>
              <w:t>WA11:</w:t>
            </w:r>
            <w:r w:rsidRPr="004E394F">
              <w:rPr>
                <w:rFonts w:cs="Calibri"/>
                <w:bCs/>
                <w:spacing w:val="-6"/>
                <w:lang w:val="en-US"/>
              </w:rPr>
              <w:t xml:space="preserve"> </w:t>
            </w:r>
            <w:r w:rsidR="004E394F" w:rsidRPr="009878F1">
              <w:rPr>
                <w:rFonts w:asciiTheme="minorHAnsi" w:hAnsiTheme="minorHAnsi" w:cstheme="minorHAnsi"/>
                <w:bCs/>
                <w:color w:val="000000"/>
                <w:lang w:val="en-US"/>
              </w:rPr>
              <w:t>Demonstrate knowledge and understanding of engineering management principles and economic decision-making and apply these to one’s own work, as a member and leader in a team, to manage projects and in multidisciplinary environments.</w:t>
            </w:r>
          </w:p>
        </w:tc>
      </w:tr>
      <w:tr w:rsidR="004E394F" w:rsidRPr="00D12F9E" w:rsidTr="002C100E">
        <w:tc>
          <w:tcPr>
            <w:tcW w:w="4489" w:type="dxa"/>
            <w:shd w:val="clear" w:color="auto" w:fill="auto"/>
          </w:tcPr>
          <w:p w:rsidR="004E394F" w:rsidRPr="004E394F" w:rsidRDefault="004E394F" w:rsidP="005319F3">
            <w:pPr>
              <w:rPr>
                <w:rFonts w:cs="Calibri"/>
                <w:i/>
                <w:sz w:val="18"/>
                <w:lang w:val="en-US"/>
              </w:rPr>
            </w:pPr>
            <w:r w:rsidRPr="004E394F">
              <w:rPr>
                <w:rFonts w:cs="Calibri"/>
                <w:i/>
                <w:sz w:val="18"/>
                <w:lang w:val="en-US"/>
              </w:rPr>
              <w:t>The learning process should allow graduates to demonstrate:</w:t>
            </w:r>
          </w:p>
        </w:tc>
        <w:tc>
          <w:tcPr>
            <w:tcW w:w="4489" w:type="dxa"/>
            <w:shd w:val="clear" w:color="auto" w:fill="auto"/>
          </w:tcPr>
          <w:p w:rsidR="004E394F" w:rsidRPr="004E394F" w:rsidRDefault="004E394F" w:rsidP="005319F3">
            <w:pPr>
              <w:jc w:val="both"/>
              <w:rPr>
                <w:rFonts w:cs="Calibri"/>
                <w:b/>
                <w:i/>
                <w:sz w:val="18"/>
                <w:lang w:val="en-US"/>
              </w:rPr>
            </w:pPr>
            <w:r>
              <w:rPr>
                <w:rFonts w:cs="Calibri"/>
                <w:b/>
                <w:i/>
                <w:sz w:val="18"/>
                <w:lang w:val="en-US"/>
              </w:rPr>
              <w:t>Explain</w:t>
            </w:r>
            <w:r w:rsidRPr="004E394F">
              <w:rPr>
                <w:rFonts w:cs="Calibri"/>
                <w:b/>
                <w:i/>
                <w:sz w:val="18"/>
                <w:lang w:val="en-US"/>
              </w:rPr>
              <w:t xml:space="preserve">/detail the competencies or learning outcomes of the subjects of the </w:t>
            </w:r>
            <w:r>
              <w:rPr>
                <w:rFonts w:cs="Calibri"/>
                <w:b/>
                <w:i/>
                <w:sz w:val="18"/>
                <w:lang w:val="en-US"/>
              </w:rPr>
              <w:t>curriculum</w:t>
            </w:r>
            <w:r w:rsidRPr="004E394F">
              <w:rPr>
                <w:rFonts w:cs="Calibri"/>
                <w:b/>
                <w:i/>
                <w:sz w:val="18"/>
                <w:lang w:val="en-US"/>
              </w:rPr>
              <w:t xml:space="preserve"> that are oriented towards achieving the results indicated for this attribute.</w:t>
            </w:r>
          </w:p>
        </w:tc>
      </w:tr>
      <w:tr w:rsidR="00F64BF1" w:rsidRPr="00D12F9E" w:rsidTr="00001A8E">
        <w:trPr>
          <w:trHeight w:val="1611"/>
        </w:trPr>
        <w:tc>
          <w:tcPr>
            <w:tcW w:w="4489" w:type="dxa"/>
            <w:shd w:val="clear" w:color="auto" w:fill="auto"/>
          </w:tcPr>
          <w:p w:rsidR="00F64BF1" w:rsidRPr="004E394F" w:rsidRDefault="004E394F" w:rsidP="002C100E">
            <w:pPr>
              <w:autoSpaceDE w:val="0"/>
              <w:autoSpaceDN w:val="0"/>
              <w:adjustRightInd w:val="0"/>
              <w:jc w:val="both"/>
              <w:rPr>
                <w:rFonts w:cs="Calibri"/>
                <w:b/>
                <w:bCs/>
                <w:color w:val="000000"/>
                <w:lang w:val="en-US"/>
              </w:rPr>
            </w:pPr>
            <w:r w:rsidRPr="009878F1">
              <w:rPr>
                <w:rFonts w:asciiTheme="minorHAnsi" w:hAnsiTheme="minorHAnsi" w:cstheme="minorHAnsi"/>
                <w:bCs/>
                <w:color w:val="000000"/>
                <w:lang w:val="en-US"/>
              </w:rPr>
              <w:t>Demonstrate knowledge and understanding of engineering management principles and economic decision-making and apply these to one’s own work, as a member and leader in a team, to manage projects and in multidisciplinary environments.</w:t>
            </w:r>
            <w:r>
              <w:rPr>
                <w:rFonts w:asciiTheme="minorHAnsi" w:hAnsiTheme="minorHAnsi" w:cstheme="minorHAnsi"/>
                <w:bCs/>
                <w:color w:val="000000"/>
                <w:lang w:val="en-US"/>
              </w:rPr>
              <w:t xml:space="preserve"> </w:t>
            </w:r>
          </w:p>
        </w:tc>
        <w:tc>
          <w:tcPr>
            <w:tcW w:w="4489" w:type="dxa"/>
            <w:shd w:val="clear" w:color="auto" w:fill="auto"/>
          </w:tcPr>
          <w:p w:rsidR="00F64BF1" w:rsidRPr="004E394F" w:rsidRDefault="00F64BF1" w:rsidP="002C100E">
            <w:pPr>
              <w:jc w:val="both"/>
              <w:rPr>
                <w:rFonts w:cs="Calibri"/>
                <w:b/>
                <w:lang w:val="en-US"/>
              </w:rPr>
            </w:pPr>
          </w:p>
        </w:tc>
      </w:tr>
      <w:tr w:rsidR="0019004F" w:rsidRPr="00D12F9E" w:rsidTr="00CD2F42">
        <w:tc>
          <w:tcPr>
            <w:tcW w:w="8978" w:type="dxa"/>
            <w:gridSpan w:val="2"/>
            <w:shd w:val="clear" w:color="auto" w:fill="DEEAF6"/>
          </w:tcPr>
          <w:p w:rsidR="0019004F" w:rsidRPr="004E394F" w:rsidRDefault="004E394F" w:rsidP="002C100E">
            <w:pPr>
              <w:pStyle w:val="Listavistosa-nfasis11"/>
              <w:numPr>
                <w:ilvl w:val="0"/>
                <w:numId w:val="8"/>
              </w:numPr>
              <w:autoSpaceDE w:val="0"/>
              <w:autoSpaceDN w:val="0"/>
              <w:adjustRightInd w:val="0"/>
              <w:spacing w:after="0" w:line="240" w:lineRule="auto"/>
              <w:rPr>
                <w:rFonts w:cs="Calibri"/>
                <w:bCs/>
                <w:color w:val="000000"/>
                <w:lang w:val="en-US"/>
              </w:rPr>
            </w:pPr>
            <w:r>
              <w:rPr>
                <w:rFonts w:cs="Calibri"/>
                <w:b/>
                <w:bCs/>
                <w:color w:val="000000"/>
                <w:lang w:val="en-US"/>
              </w:rPr>
              <w:t>Lifelong learning</w:t>
            </w:r>
            <w:r w:rsidR="0019004F" w:rsidRPr="004E394F">
              <w:rPr>
                <w:rFonts w:cs="Calibri"/>
                <w:b/>
                <w:bCs/>
                <w:color w:val="000000"/>
                <w:lang w:val="en-US"/>
              </w:rPr>
              <w:t>:</w:t>
            </w:r>
            <w:r w:rsidR="0019004F" w:rsidRPr="004E394F">
              <w:rPr>
                <w:rFonts w:cs="Calibri"/>
                <w:bCs/>
                <w:color w:val="000000"/>
                <w:lang w:val="en-US"/>
              </w:rPr>
              <w:t xml:space="preserve"> </w:t>
            </w:r>
          </w:p>
          <w:p w:rsidR="0019004F" w:rsidRPr="004E394F" w:rsidRDefault="0019004F" w:rsidP="004E394F">
            <w:pPr>
              <w:autoSpaceDE w:val="0"/>
              <w:autoSpaceDN w:val="0"/>
              <w:adjustRightInd w:val="0"/>
              <w:jc w:val="both"/>
              <w:rPr>
                <w:rFonts w:cs="Calibri"/>
                <w:color w:val="000000"/>
                <w:lang w:val="en-US"/>
              </w:rPr>
            </w:pPr>
            <w:r w:rsidRPr="004E394F">
              <w:rPr>
                <w:rFonts w:cs="Calibri"/>
                <w:b/>
                <w:bCs/>
                <w:lang w:val="en-US"/>
              </w:rPr>
              <w:t>WA12:</w:t>
            </w:r>
            <w:r w:rsidR="004E394F" w:rsidRPr="004E394F">
              <w:rPr>
                <w:rFonts w:cs="Calibri"/>
                <w:lang w:val="en-US"/>
              </w:rPr>
              <w:t xml:space="preserve"> </w:t>
            </w:r>
            <w:r w:rsidR="004E394F" w:rsidRPr="009878F1">
              <w:rPr>
                <w:rFonts w:asciiTheme="minorHAnsi" w:hAnsiTheme="minorHAnsi" w:cstheme="minorHAnsi"/>
                <w:bCs/>
                <w:color w:val="000000"/>
                <w:lang w:val="en-US"/>
              </w:rPr>
              <w:t>Recognize the need for, and have the preparation and ability to engage in independent and life-long learning in the broadest context of technological change.</w:t>
            </w:r>
            <w:r w:rsidR="004E394F">
              <w:rPr>
                <w:rFonts w:asciiTheme="minorHAnsi" w:hAnsiTheme="minorHAnsi" w:cstheme="minorHAnsi"/>
                <w:bCs/>
                <w:color w:val="000000"/>
                <w:lang w:val="en-US"/>
              </w:rPr>
              <w:t xml:space="preserve"> </w:t>
            </w:r>
          </w:p>
        </w:tc>
      </w:tr>
      <w:tr w:rsidR="004E394F" w:rsidRPr="00D12F9E" w:rsidTr="002C100E">
        <w:tc>
          <w:tcPr>
            <w:tcW w:w="4489" w:type="dxa"/>
            <w:shd w:val="clear" w:color="auto" w:fill="auto"/>
          </w:tcPr>
          <w:p w:rsidR="004E394F" w:rsidRPr="004E394F" w:rsidRDefault="004E394F" w:rsidP="005319F3">
            <w:pPr>
              <w:rPr>
                <w:rFonts w:cs="Calibri"/>
                <w:i/>
                <w:sz w:val="18"/>
                <w:lang w:val="en-US"/>
              </w:rPr>
            </w:pPr>
            <w:r w:rsidRPr="004E394F">
              <w:rPr>
                <w:rFonts w:cs="Calibri"/>
                <w:i/>
                <w:sz w:val="18"/>
                <w:lang w:val="en-US"/>
              </w:rPr>
              <w:t>The learning process should allow graduates to demonstrate:</w:t>
            </w:r>
          </w:p>
        </w:tc>
        <w:tc>
          <w:tcPr>
            <w:tcW w:w="4489" w:type="dxa"/>
            <w:shd w:val="clear" w:color="auto" w:fill="auto"/>
          </w:tcPr>
          <w:p w:rsidR="004E394F" w:rsidRPr="004E394F" w:rsidRDefault="004E394F" w:rsidP="005319F3">
            <w:pPr>
              <w:jc w:val="both"/>
              <w:rPr>
                <w:rFonts w:cs="Calibri"/>
                <w:b/>
                <w:i/>
                <w:sz w:val="18"/>
                <w:lang w:val="en-US"/>
              </w:rPr>
            </w:pPr>
            <w:r>
              <w:rPr>
                <w:rFonts w:cs="Calibri"/>
                <w:b/>
                <w:i/>
                <w:sz w:val="18"/>
                <w:lang w:val="en-US"/>
              </w:rPr>
              <w:t>Explain</w:t>
            </w:r>
            <w:r w:rsidRPr="004E394F">
              <w:rPr>
                <w:rFonts w:cs="Calibri"/>
                <w:b/>
                <w:i/>
                <w:sz w:val="18"/>
                <w:lang w:val="en-US"/>
              </w:rPr>
              <w:t xml:space="preserve">/detail the competencies or learning outcomes of the subjects of the </w:t>
            </w:r>
            <w:r>
              <w:rPr>
                <w:rFonts w:cs="Calibri"/>
                <w:b/>
                <w:i/>
                <w:sz w:val="18"/>
                <w:lang w:val="en-US"/>
              </w:rPr>
              <w:t>curriculum</w:t>
            </w:r>
            <w:r w:rsidRPr="004E394F">
              <w:rPr>
                <w:rFonts w:cs="Calibri"/>
                <w:b/>
                <w:i/>
                <w:sz w:val="18"/>
                <w:lang w:val="en-US"/>
              </w:rPr>
              <w:t xml:space="preserve"> that are oriented towards achieving the results indicated for this attribute.</w:t>
            </w:r>
          </w:p>
        </w:tc>
      </w:tr>
      <w:tr w:rsidR="00F64BF1" w:rsidRPr="00D12F9E" w:rsidTr="00CC64EE">
        <w:trPr>
          <w:trHeight w:val="1104"/>
        </w:trPr>
        <w:tc>
          <w:tcPr>
            <w:tcW w:w="4489" w:type="dxa"/>
            <w:shd w:val="clear" w:color="auto" w:fill="auto"/>
          </w:tcPr>
          <w:p w:rsidR="00F64BF1" w:rsidRPr="004E394F" w:rsidRDefault="004E394F" w:rsidP="002C100E">
            <w:pPr>
              <w:autoSpaceDE w:val="0"/>
              <w:autoSpaceDN w:val="0"/>
              <w:adjustRightInd w:val="0"/>
              <w:jc w:val="both"/>
              <w:rPr>
                <w:rFonts w:cs="Calibri"/>
                <w:b/>
                <w:bCs/>
                <w:color w:val="000000"/>
                <w:lang w:val="en-US"/>
              </w:rPr>
            </w:pPr>
            <w:r w:rsidRPr="009878F1">
              <w:rPr>
                <w:rFonts w:asciiTheme="minorHAnsi" w:hAnsiTheme="minorHAnsi" w:cstheme="minorHAnsi"/>
                <w:bCs/>
                <w:color w:val="000000"/>
                <w:lang w:val="en-US"/>
              </w:rPr>
              <w:t>Recognize the need for, and have the preparation and ability to engage in independent and life-long learning in the broadest context of technological change.</w:t>
            </w:r>
            <w:r>
              <w:rPr>
                <w:rFonts w:asciiTheme="minorHAnsi" w:hAnsiTheme="minorHAnsi" w:cstheme="minorHAnsi"/>
                <w:bCs/>
                <w:color w:val="000000"/>
                <w:lang w:val="en-US"/>
              </w:rPr>
              <w:t xml:space="preserve"> </w:t>
            </w:r>
          </w:p>
        </w:tc>
        <w:tc>
          <w:tcPr>
            <w:tcW w:w="4489" w:type="dxa"/>
            <w:shd w:val="clear" w:color="auto" w:fill="auto"/>
          </w:tcPr>
          <w:p w:rsidR="00F64BF1" w:rsidRPr="004E394F" w:rsidRDefault="00F64BF1" w:rsidP="002C100E">
            <w:pPr>
              <w:jc w:val="both"/>
              <w:rPr>
                <w:rFonts w:cs="Calibri"/>
                <w:b/>
                <w:lang w:val="en-US"/>
              </w:rPr>
            </w:pPr>
          </w:p>
        </w:tc>
      </w:tr>
    </w:tbl>
    <w:p w:rsidR="0019004F" w:rsidRPr="004E394F" w:rsidRDefault="0019004F" w:rsidP="007D60FD">
      <w:pPr>
        <w:jc w:val="both"/>
        <w:rPr>
          <w:rFonts w:cs="Calibri"/>
          <w:b/>
          <w:lang w:val="en-US"/>
        </w:rPr>
      </w:pPr>
    </w:p>
    <w:sectPr w:rsidR="0019004F" w:rsidRPr="004E394F" w:rsidSect="00ED53E3">
      <w:headerReference w:type="default" r:id="rId7"/>
      <w:footerReference w:type="default" r:id="rId8"/>
      <w:pgSz w:w="12240" w:h="15840"/>
      <w:pgMar w:top="1531" w:right="1701" w:bottom="1701"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49F" w:rsidRDefault="00B9449F">
      <w:r>
        <w:separator/>
      </w:r>
    </w:p>
  </w:endnote>
  <w:endnote w:type="continuationSeparator" w:id="0">
    <w:p w:rsidR="00B9449F" w:rsidRDefault="00B94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3A3" w:rsidRPr="00713B11" w:rsidRDefault="00D12F9E" w:rsidP="00A133A3">
    <w:pPr>
      <w:pStyle w:val="Piedepgina"/>
      <w:ind w:left="-709" w:hanging="14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4pt;height:71.25pt">
          <v:imagedata r:id="rId1" o:title=""/>
        </v:shape>
      </w:pict>
    </w:r>
  </w:p>
  <w:p w:rsidR="00D91ED1" w:rsidRPr="00A133A3" w:rsidRDefault="00D91ED1" w:rsidP="00A133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49F" w:rsidRDefault="00B9449F">
      <w:r>
        <w:separator/>
      </w:r>
    </w:p>
  </w:footnote>
  <w:footnote w:type="continuationSeparator" w:id="0">
    <w:p w:rsidR="00B9449F" w:rsidRDefault="00B94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ED1" w:rsidRDefault="00D12F9E" w:rsidP="00997676">
    <w:pPr>
      <w:pStyle w:val="Encabezado"/>
      <w:tabs>
        <w:tab w:val="clear" w:pos="4252"/>
        <w:tab w:val="clear" w:pos="8504"/>
        <w:tab w:val="left" w:pos="5700"/>
      </w:tabs>
      <w:rPr>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42.7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25FC"/>
    <w:multiLevelType w:val="hybridMultilevel"/>
    <w:tmpl w:val="72C8DB00"/>
    <w:lvl w:ilvl="0" w:tplc="23F6052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C1E1173"/>
    <w:multiLevelType w:val="hybridMultilevel"/>
    <w:tmpl w:val="BEEE5AD6"/>
    <w:lvl w:ilvl="0" w:tplc="61661F80">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2600638"/>
    <w:multiLevelType w:val="hybridMultilevel"/>
    <w:tmpl w:val="822EB8FC"/>
    <w:lvl w:ilvl="0" w:tplc="0B867C7E">
      <w:numFmt w:val="bullet"/>
      <w:lvlText w:val=""/>
      <w:lvlJc w:val="left"/>
      <w:pPr>
        <w:ind w:left="720" w:hanging="360"/>
      </w:pPr>
      <w:rPr>
        <w:rFonts w:ascii="Symbol" w:eastAsia="MS Mincho" w:hAnsi="Symbol"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459291D"/>
    <w:multiLevelType w:val="hybridMultilevel"/>
    <w:tmpl w:val="FE141132"/>
    <w:lvl w:ilvl="0" w:tplc="02A867D6">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F032DE"/>
    <w:multiLevelType w:val="hybridMultilevel"/>
    <w:tmpl w:val="9770222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9C07556"/>
    <w:multiLevelType w:val="hybridMultilevel"/>
    <w:tmpl w:val="9208AC12"/>
    <w:lvl w:ilvl="0" w:tplc="02C4560C">
      <w:start w:val="1"/>
      <w:numFmt w:val="decimal"/>
      <w:lvlText w:val="%1."/>
      <w:lvlJc w:val="left"/>
      <w:pPr>
        <w:ind w:left="720" w:hanging="360"/>
      </w:pPr>
      <w:rPr>
        <w:rFonts w:ascii="Arial Narrow" w:eastAsia="Calibri" w:hAnsi="Arial Narrow" w:cs="Calibr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A1650BB"/>
    <w:multiLevelType w:val="hybridMultilevel"/>
    <w:tmpl w:val="72C8DB00"/>
    <w:lvl w:ilvl="0" w:tplc="23F6052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CEB220E"/>
    <w:multiLevelType w:val="hybridMultilevel"/>
    <w:tmpl w:val="B596CFF2"/>
    <w:lvl w:ilvl="0" w:tplc="09B265B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9445175"/>
    <w:multiLevelType w:val="hybridMultilevel"/>
    <w:tmpl w:val="72C8DB00"/>
    <w:lvl w:ilvl="0" w:tplc="23F6052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6ACF54D9"/>
    <w:multiLevelType w:val="hybridMultilevel"/>
    <w:tmpl w:val="AB2415E4"/>
    <w:lvl w:ilvl="0" w:tplc="DF262F30">
      <w:numFmt w:val="bullet"/>
      <w:lvlText w:val=""/>
      <w:lvlJc w:val="left"/>
      <w:pPr>
        <w:ind w:left="720" w:hanging="360"/>
      </w:pPr>
      <w:rPr>
        <w:rFonts w:ascii="Symbol" w:eastAsia="MS Mincho" w:hAnsi="Symbol"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6B364C62"/>
    <w:multiLevelType w:val="hybridMultilevel"/>
    <w:tmpl w:val="B1EEAB66"/>
    <w:lvl w:ilvl="0" w:tplc="F7028B1E">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E0F07DA"/>
    <w:multiLevelType w:val="hybridMultilevel"/>
    <w:tmpl w:val="FE141132"/>
    <w:lvl w:ilvl="0" w:tplc="02A867D6">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8330485"/>
    <w:multiLevelType w:val="hybridMultilevel"/>
    <w:tmpl w:val="95D8EDA6"/>
    <w:lvl w:ilvl="0" w:tplc="340A000F">
      <w:start w:val="1"/>
      <w:numFmt w:val="decimal"/>
      <w:pStyle w:val="Listaconvietas"/>
      <w:lvlText w:val="%1."/>
      <w:lvlJc w:val="left"/>
      <w:pPr>
        <w:ind w:left="360" w:hanging="360"/>
      </w:pPr>
      <w:rPr>
        <w:rFonts w:cs="Times New Roman"/>
      </w:rPr>
    </w:lvl>
    <w:lvl w:ilvl="1" w:tplc="340A0019">
      <w:start w:val="1"/>
      <w:numFmt w:val="lowerLetter"/>
      <w:lvlText w:val="%2."/>
      <w:lvlJc w:val="left"/>
      <w:pPr>
        <w:ind w:left="1080" w:hanging="360"/>
      </w:pPr>
      <w:rPr>
        <w:rFonts w:cs="Times New Roman"/>
      </w:rPr>
    </w:lvl>
    <w:lvl w:ilvl="2" w:tplc="340A001B">
      <w:start w:val="1"/>
      <w:numFmt w:val="lowerRoman"/>
      <w:lvlText w:val="%3."/>
      <w:lvlJc w:val="right"/>
      <w:pPr>
        <w:ind w:left="1800" w:hanging="180"/>
      </w:pPr>
      <w:rPr>
        <w:rFonts w:cs="Times New Roman"/>
      </w:rPr>
    </w:lvl>
    <w:lvl w:ilvl="3" w:tplc="340A000F">
      <w:start w:val="1"/>
      <w:numFmt w:val="decimal"/>
      <w:lvlText w:val="%4."/>
      <w:lvlJc w:val="left"/>
      <w:pPr>
        <w:ind w:left="2520" w:hanging="360"/>
      </w:pPr>
      <w:rPr>
        <w:rFonts w:cs="Times New Roman"/>
      </w:rPr>
    </w:lvl>
    <w:lvl w:ilvl="4" w:tplc="340A0019">
      <w:start w:val="1"/>
      <w:numFmt w:val="lowerLetter"/>
      <w:lvlText w:val="%5."/>
      <w:lvlJc w:val="left"/>
      <w:pPr>
        <w:ind w:left="3240" w:hanging="360"/>
      </w:pPr>
      <w:rPr>
        <w:rFonts w:cs="Times New Roman"/>
      </w:rPr>
    </w:lvl>
    <w:lvl w:ilvl="5" w:tplc="340A001B">
      <w:start w:val="1"/>
      <w:numFmt w:val="lowerRoman"/>
      <w:lvlText w:val="%6."/>
      <w:lvlJc w:val="right"/>
      <w:pPr>
        <w:ind w:left="3960" w:hanging="180"/>
      </w:pPr>
      <w:rPr>
        <w:rFonts w:cs="Times New Roman"/>
      </w:rPr>
    </w:lvl>
    <w:lvl w:ilvl="6" w:tplc="340A000F">
      <w:start w:val="1"/>
      <w:numFmt w:val="decimal"/>
      <w:lvlText w:val="%7."/>
      <w:lvlJc w:val="left"/>
      <w:pPr>
        <w:ind w:left="4680" w:hanging="360"/>
      </w:pPr>
      <w:rPr>
        <w:rFonts w:cs="Times New Roman"/>
      </w:rPr>
    </w:lvl>
    <w:lvl w:ilvl="7" w:tplc="340A0019">
      <w:start w:val="1"/>
      <w:numFmt w:val="lowerLetter"/>
      <w:lvlText w:val="%8."/>
      <w:lvlJc w:val="left"/>
      <w:pPr>
        <w:ind w:left="5400" w:hanging="360"/>
      </w:pPr>
      <w:rPr>
        <w:rFonts w:cs="Times New Roman"/>
      </w:rPr>
    </w:lvl>
    <w:lvl w:ilvl="8" w:tplc="340A001B">
      <w:start w:val="1"/>
      <w:numFmt w:val="lowerRoman"/>
      <w:lvlText w:val="%9."/>
      <w:lvlJc w:val="right"/>
      <w:pPr>
        <w:ind w:left="6120"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11"/>
  </w:num>
  <w:num w:numId="5">
    <w:abstractNumId w:val="9"/>
  </w:num>
  <w:num w:numId="6">
    <w:abstractNumId w:val="2"/>
  </w:num>
  <w:num w:numId="7">
    <w:abstractNumId w:val="4"/>
  </w:num>
  <w:num w:numId="8">
    <w:abstractNumId w:val="6"/>
  </w:num>
  <w:num w:numId="9">
    <w:abstractNumId w:val="0"/>
  </w:num>
  <w:num w:numId="10">
    <w:abstractNumId w:val="8"/>
  </w:num>
  <w:num w:numId="11">
    <w:abstractNumId w:val="1"/>
  </w:num>
  <w:num w:numId="12">
    <w:abstractNumId w:val="3"/>
  </w:num>
  <w:num w:numId="1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80"/>
  <w:hyphenationZone w:val="425"/>
  <w:noPunctuationKerning/>
  <w:characterSpacingControl w:val="doNotCompress"/>
  <w:hdrShapeDefaults>
    <o:shapedefaults v:ext="edit" spidmax="717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23D11"/>
    <w:rsid w:val="0001090B"/>
    <w:rsid w:val="00072502"/>
    <w:rsid w:val="000741F3"/>
    <w:rsid w:val="0007724C"/>
    <w:rsid w:val="000802F5"/>
    <w:rsid w:val="000949C2"/>
    <w:rsid w:val="000966B1"/>
    <w:rsid w:val="000A7630"/>
    <w:rsid w:val="000B6E7E"/>
    <w:rsid w:val="000D434D"/>
    <w:rsid w:val="000E7E95"/>
    <w:rsid w:val="00115CB3"/>
    <w:rsid w:val="001350AF"/>
    <w:rsid w:val="00174A21"/>
    <w:rsid w:val="00176DFB"/>
    <w:rsid w:val="0019004F"/>
    <w:rsid w:val="001C194E"/>
    <w:rsid w:val="001F0406"/>
    <w:rsid w:val="002007C7"/>
    <w:rsid w:val="0022154D"/>
    <w:rsid w:val="00237F27"/>
    <w:rsid w:val="00295B36"/>
    <w:rsid w:val="002A1594"/>
    <w:rsid w:val="002A4F50"/>
    <w:rsid w:val="002C100E"/>
    <w:rsid w:val="002E7552"/>
    <w:rsid w:val="00313E89"/>
    <w:rsid w:val="00347F1B"/>
    <w:rsid w:val="00385634"/>
    <w:rsid w:val="003959A4"/>
    <w:rsid w:val="003A1CF0"/>
    <w:rsid w:val="003B1CC0"/>
    <w:rsid w:val="003B6798"/>
    <w:rsid w:val="003C5BD2"/>
    <w:rsid w:val="003F600C"/>
    <w:rsid w:val="00412BC5"/>
    <w:rsid w:val="004460BB"/>
    <w:rsid w:val="004750D2"/>
    <w:rsid w:val="004828CE"/>
    <w:rsid w:val="004A397C"/>
    <w:rsid w:val="004E394F"/>
    <w:rsid w:val="004F24A6"/>
    <w:rsid w:val="00504150"/>
    <w:rsid w:val="0054171A"/>
    <w:rsid w:val="00551F0A"/>
    <w:rsid w:val="00582EEF"/>
    <w:rsid w:val="00585889"/>
    <w:rsid w:val="00592A1C"/>
    <w:rsid w:val="005D79D9"/>
    <w:rsid w:val="005D7E54"/>
    <w:rsid w:val="00652CA7"/>
    <w:rsid w:val="00660006"/>
    <w:rsid w:val="006A40D2"/>
    <w:rsid w:val="006B38FD"/>
    <w:rsid w:val="006C18CC"/>
    <w:rsid w:val="00701746"/>
    <w:rsid w:val="007B4882"/>
    <w:rsid w:val="007D60FD"/>
    <w:rsid w:val="007E09A9"/>
    <w:rsid w:val="00812FD9"/>
    <w:rsid w:val="00856974"/>
    <w:rsid w:val="0086568A"/>
    <w:rsid w:val="00866A96"/>
    <w:rsid w:val="00890047"/>
    <w:rsid w:val="00896732"/>
    <w:rsid w:val="008B3F41"/>
    <w:rsid w:val="008C7389"/>
    <w:rsid w:val="0090498C"/>
    <w:rsid w:val="00915E58"/>
    <w:rsid w:val="00951AB6"/>
    <w:rsid w:val="00974471"/>
    <w:rsid w:val="00995A4E"/>
    <w:rsid w:val="00997676"/>
    <w:rsid w:val="009A480E"/>
    <w:rsid w:val="009D182B"/>
    <w:rsid w:val="009D2A08"/>
    <w:rsid w:val="009D76AE"/>
    <w:rsid w:val="009F093C"/>
    <w:rsid w:val="009F3EC7"/>
    <w:rsid w:val="00A133A3"/>
    <w:rsid w:val="00A35C82"/>
    <w:rsid w:val="00A602BE"/>
    <w:rsid w:val="00A641C2"/>
    <w:rsid w:val="00AC082E"/>
    <w:rsid w:val="00AF3FF9"/>
    <w:rsid w:val="00B36946"/>
    <w:rsid w:val="00B8757B"/>
    <w:rsid w:val="00B9449F"/>
    <w:rsid w:val="00BC1AE0"/>
    <w:rsid w:val="00BF01D5"/>
    <w:rsid w:val="00C22145"/>
    <w:rsid w:val="00C34165"/>
    <w:rsid w:val="00C44302"/>
    <w:rsid w:val="00C53619"/>
    <w:rsid w:val="00C97356"/>
    <w:rsid w:val="00CB7AA5"/>
    <w:rsid w:val="00CC75F1"/>
    <w:rsid w:val="00CD2F42"/>
    <w:rsid w:val="00D12F9E"/>
    <w:rsid w:val="00D16396"/>
    <w:rsid w:val="00D227DC"/>
    <w:rsid w:val="00D452BE"/>
    <w:rsid w:val="00D56067"/>
    <w:rsid w:val="00D65307"/>
    <w:rsid w:val="00D82421"/>
    <w:rsid w:val="00D91ED1"/>
    <w:rsid w:val="00DA118B"/>
    <w:rsid w:val="00DC5504"/>
    <w:rsid w:val="00DD0371"/>
    <w:rsid w:val="00DF04CB"/>
    <w:rsid w:val="00E065F3"/>
    <w:rsid w:val="00E11FF1"/>
    <w:rsid w:val="00E12704"/>
    <w:rsid w:val="00E14271"/>
    <w:rsid w:val="00E2186D"/>
    <w:rsid w:val="00E21CED"/>
    <w:rsid w:val="00E26EF4"/>
    <w:rsid w:val="00E51441"/>
    <w:rsid w:val="00E64593"/>
    <w:rsid w:val="00E82FA4"/>
    <w:rsid w:val="00EC0755"/>
    <w:rsid w:val="00ED53E3"/>
    <w:rsid w:val="00EF512D"/>
    <w:rsid w:val="00F00CD0"/>
    <w:rsid w:val="00F23D11"/>
    <w:rsid w:val="00F27E69"/>
    <w:rsid w:val="00F64BF1"/>
    <w:rsid w:val="00FD1B1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1"/>
    <o:shapelayout v:ext="edit">
      <o:idmap v:ext="edit" data="1"/>
    </o:shapelayout>
  </w:shapeDefaults>
  <w:decimalSymbol w:val=","/>
  <w:listSeparator w:val=","/>
  <w15:docId w15:val="{7AB1E987-2AD3-4252-AD88-F40FECF7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307"/>
    <w:rPr>
      <w:rFonts w:ascii="Calibri" w:hAnsi="Calibri"/>
      <w:sz w:val="22"/>
      <w:szCs w:val="24"/>
      <w:lang w:val="es-MX" w:eastAsia="es-MX"/>
    </w:rPr>
  </w:style>
  <w:style w:type="paragraph" w:styleId="Ttulo1">
    <w:name w:val="heading 1"/>
    <w:basedOn w:val="Normal"/>
    <w:next w:val="Normal"/>
    <w:qFormat/>
    <w:rsid w:val="00C059F8"/>
    <w:pPr>
      <w:keepNext/>
      <w:outlineLvl w:val="0"/>
    </w:pPr>
    <w:rPr>
      <w:b/>
      <w:sz w:val="20"/>
      <w:szCs w:val="20"/>
      <w:lang w:val="es-CL" w:eastAsia="es-ES_tradnl"/>
    </w:rPr>
  </w:style>
  <w:style w:type="paragraph" w:styleId="Ttulo2">
    <w:name w:val="heading 2"/>
    <w:basedOn w:val="Normal"/>
    <w:next w:val="Normal"/>
    <w:qFormat/>
    <w:rsid w:val="00C059F8"/>
    <w:pPr>
      <w:keepNext/>
      <w:spacing w:before="240" w:after="60"/>
      <w:outlineLvl w:val="1"/>
    </w:pPr>
    <w:rPr>
      <w:rFonts w:ascii="Arial" w:hAnsi="Arial" w:cs="Arial"/>
      <w:b/>
      <w:bCs/>
      <w:i/>
      <w:iCs/>
      <w:sz w:val="28"/>
      <w:szCs w:val="28"/>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206F44"/>
    <w:rPr>
      <w:color w:val="0000FF"/>
      <w:u w:val="single"/>
    </w:rPr>
  </w:style>
  <w:style w:type="character" w:styleId="Hipervnculovisitado">
    <w:name w:val="FollowedHyperlink"/>
    <w:rsid w:val="009B763B"/>
    <w:rPr>
      <w:color w:val="800080"/>
      <w:u w:val="single"/>
    </w:rPr>
  </w:style>
  <w:style w:type="paragraph" w:styleId="Encabezado">
    <w:name w:val="header"/>
    <w:basedOn w:val="Normal"/>
    <w:rsid w:val="00531BD1"/>
    <w:pPr>
      <w:tabs>
        <w:tab w:val="center" w:pos="4252"/>
        <w:tab w:val="right" w:pos="8504"/>
      </w:tabs>
    </w:pPr>
  </w:style>
  <w:style w:type="paragraph" w:styleId="Piedepgina">
    <w:name w:val="footer"/>
    <w:basedOn w:val="Normal"/>
    <w:link w:val="PiedepginaCar"/>
    <w:uiPriority w:val="99"/>
    <w:rsid w:val="00531BD1"/>
    <w:pPr>
      <w:tabs>
        <w:tab w:val="center" w:pos="4252"/>
        <w:tab w:val="right" w:pos="8504"/>
      </w:tabs>
    </w:pPr>
  </w:style>
  <w:style w:type="paragraph" w:styleId="Textoindependiente">
    <w:name w:val="Body Text"/>
    <w:basedOn w:val="Normal"/>
    <w:rsid w:val="00C059F8"/>
    <w:pPr>
      <w:jc w:val="both"/>
    </w:pPr>
    <w:rPr>
      <w:lang w:val="es-CL" w:eastAsia="es-ES"/>
    </w:rPr>
  </w:style>
  <w:style w:type="paragraph" w:customStyle="1" w:styleId="content">
    <w:name w:val="content"/>
    <w:basedOn w:val="Normal"/>
    <w:rsid w:val="00C059F8"/>
    <w:pPr>
      <w:spacing w:before="100" w:beforeAutospacing="1" w:after="100" w:afterAutospacing="1"/>
    </w:pPr>
    <w:rPr>
      <w:rFonts w:ascii="Arial" w:hAnsi="Arial" w:cs="Arial"/>
      <w:color w:val="000000"/>
      <w:sz w:val="18"/>
      <w:szCs w:val="18"/>
      <w:lang w:val="es-ES" w:eastAsia="es-ES"/>
    </w:rPr>
  </w:style>
  <w:style w:type="character" w:styleId="Textoennegrita">
    <w:name w:val="Strong"/>
    <w:qFormat/>
    <w:rsid w:val="00C059F8"/>
    <w:rPr>
      <w:b/>
      <w:bCs/>
    </w:rPr>
  </w:style>
  <w:style w:type="table" w:styleId="Tablaconcuadrcula">
    <w:name w:val="Table Grid"/>
    <w:basedOn w:val="Tablanormal"/>
    <w:uiPriority w:val="59"/>
    <w:rsid w:val="00C05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rsid w:val="00D73019"/>
    <w:pPr>
      <w:widowControl w:val="0"/>
      <w:autoSpaceDE w:val="0"/>
      <w:autoSpaceDN w:val="0"/>
      <w:adjustRightInd w:val="0"/>
    </w:pPr>
    <w:rPr>
      <w:lang w:val="en-US" w:eastAsia="es-ES"/>
    </w:rPr>
  </w:style>
  <w:style w:type="paragraph" w:styleId="Textodeglobo">
    <w:name w:val="Balloon Text"/>
    <w:basedOn w:val="Normal"/>
    <w:link w:val="TextodegloboCar"/>
    <w:rsid w:val="00115CB3"/>
    <w:rPr>
      <w:rFonts w:ascii="Segoe UI" w:hAnsi="Segoe UI" w:cs="Segoe UI"/>
      <w:sz w:val="18"/>
      <w:szCs w:val="18"/>
    </w:rPr>
  </w:style>
  <w:style w:type="character" w:customStyle="1" w:styleId="TextodegloboCar">
    <w:name w:val="Texto de globo Car"/>
    <w:link w:val="Textodeglobo"/>
    <w:rsid w:val="00115CB3"/>
    <w:rPr>
      <w:rFonts w:ascii="Segoe UI" w:hAnsi="Segoe UI" w:cs="Segoe UI"/>
      <w:sz w:val="18"/>
      <w:szCs w:val="18"/>
      <w:lang w:val="es-MX" w:eastAsia="es-MX"/>
    </w:rPr>
  </w:style>
  <w:style w:type="paragraph" w:styleId="Listaconvietas">
    <w:name w:val="List Bullet"/>
    <w:basedOn w:val="Normal"/>
    <w:uiPriority w:val="99"/>
    <w:unhideWhenUsed/>
    <w:rsid w:val="004750D2"/>
    <w:pPr>
      <w:numPr>
        <w:numId w:val="1"/>
      </w:numPr>
      <w:tabs>
        <w:tab w:val="num" w:pos="360"/>
      </w:tabs>
      <w:contextualSpacing/>
    </w:pPr>
    <w:rPr>
      <w:rFonts w:ascii="Times New Roman" w:hAnsi="Times New Roman"/>
      <w:sz w:val="24"/>
    </w:rPr>
  </w:style>
  <w:style w:type="paragraph" w:styleId="Prrafodelista">
    <w:name w:val="List Paragraph"/>
    <w:basedOn w:val="Normal"/>
    <w:uiPriority w:val="34"/>
    <w:qFormat/>
    <w:rsid w:val="004750D2"/>
    <w:pPr>
      <w:ind w:left="720"/>
      <w:contextualSpacing/>
    </w:pPr>
    <w:rPr>
      <w:rFonts w:ascii="Times New Roman" w:hAnsi="Times New Roman"/>
      <w:sz w:val="24"/>
    </w:rPr>
  </w:style>
  <w:style w:type="character" w:customStyle="1" w:styleId="PiedepginaCar">
    <w:name w:val="Pie de página Car"/>
    <w:link w:val="Piedepgina"/>
    <w:uiPriority w:val="99"/>
    <w:rsid w:val="004750D2"/>
    <w:rPr>
      <w:rFonts w:ascii="Calibri" w:hAnsi="Calibri"/>
      <w:sz w:val="22"/>
      <w:szCs w:val="24"/>
      <w:lang w:val="es-MX" w:eastAsia="es-MX"/>
    </w:rPr>
  </w:style>
  <w:style w:type="paragraph" w:customStyle="1" w:styleId="Listavistosa-nfasis11">
    <w:name w:val="Lista vistosa - Énfasis 11"/>
    <w:basedOn w:val="Normal"/>
    <w:uiPriority w:val="34"/>
    <w:qFormat/>
    <w:rsid w:val="0019004F"/>
    <w:pPr>
      <w:spacing w:after="200" w:line="276" w:lineRule="auto"/>
      <w:ind w:left="720"/>
      <w:contextualSpacing/>
    </w:pPr>
    <w:rPr>
      <w:rFonts w:eastAsia="MS Mincho"/>
      <w:szCs w:val="22"/>
      <w:lang w:val="es-CL" w:eastAsia="es-CL"/>
    </w:rPr>
  </w:style>
  <w:style w:type="paragraph" w:styleId="Textonotapie">
    <w:name w:val="footnote text"/>
    <w:basedOn w:val="Normal"/>
    <w:link w:val="TextonotapieCar"/>
    <w:uiPriority w:val="99"/>
    <w:unhideWhenUsed/>
    <w:rsid w:val="004E394F"/>
    <w:rPr>
      <w:rFonts w:eastAsia="MS Mincho"/>
      <w:sz w:val="20"/>
      <w:szCs w:val="20"/>
      <w:lang w:val="es-CL" w:eastAsia="es-CL"/>
    </w:rPr>
  </w:style>
  <w:style w:type="character" w:customStyle="1" w:styleId="TextonotapieCar">
    <w:name w:val="Texto nota pie Car"/>
    <w:basedOn w:val="Fuentedeprrafopredeter"/>
    <w:link w:val="Textonotapie"/>
    <w:uiPriority w:val="99"/>
    <w:rsid w:val="004E394F"/>
    <w:rPr>
      <w:rFonts w:ascii="Calibri" w:eastAsia="MS Mincho" w:hAnsi="Calibri"/>
    </w:rPr>
  </w:style>
  <w:style w:type="character" w:styleId="Refdenotaalpie">
    <w:name w:val="footnote reference"/>
    <w:uiPriority w:val="99"/>
    <w:unhideWhenUsed/>
    <w:rsid w:val="004E39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56751">
      <w:bodyDiv w:val="1"/>
      <w:marLeft w:val="0"/>
      <w:marRight w:val="0"/>
      <w:marTop w:val="0"/>
      <w:marBottom w:val="0"/>
      <w:divBdr>
        <w:top w:val="none" w:sz="0" w:space="0" w:color="auto"/>
        <w:left w:val="none" w:sz="0" w:space="0" w:color="auto"/>
        <w:bottom w:val="none" w:sz="0" w:space="0" w:color="auto"/>
        <w:right w:val="none" w:sz="0" w:space="0" w:color="auto"/>
      </w:divBdr>
      <w:divsChild>
        <w:div w:id="546383261">
          <w:marLeft w:val="0"/>
          <w:marRight w:val="0"/>
          <w:marTop w:val="0"/>
          <w:marBottom w:val="0"/>
          <w:divBdr>
            <w:top w:val="none" w:sz="0" w:space="0" w:color="auto"/>
            <w:left w:val="none" w:sz="0" w:space="0" w:color="auto"/>
            <w:bottom w:val="none" w:sz="0" w:space="0" w:color="auto"/>
            <w:right w:val="none" w:sz="0" w:space="0" w:color="auto"/>
          </w:divBdr>
        </w:div>
        <w:div w:id="601450279">
          <w:marLeft w:val="0"/>
          <w:marRight w:val="0"/>
          <w:marTop w:val="0"/>
          <w:marBottom w:val="0"/>
          <w:divBdr>
            <w:top w:val="none" w:sz="0" w:space="0" w:color="auto"/>
            <w:left w:val="none" w:sz="0" w:space="0" w:color="auto"/>
            <w:bottom w:val="none" w:sz="0" w:space="0" w:color="auto"/>
            <w:right w:val="none" w:sz="0" w:space="0" w:color="auto"/>
          </w:divBdr>
        </w:div>
        <w:div w:id="1392999514">
          <w:marLeft w:val="0"/>
          <w:marRight w:val="0"/>
          <w:marTop w:val="0"/>
          <w:marBottom w:val="0"/>
          <w:divBdr>
            <w:top w:val="none" w:sz="0" w:space="0" w:color="auto"/>
            <w:left w:val="none" w:sz="0" w:space="0" w:color="auto"/>
            <w:bottom w:val="none" w:sz="0" w:space="0" w:color="auto"/>
            <w:right w:val="none" w:sz="0" w:space="0" w:color="auto"/>
          </w:divBdr>
        </w:div>
        <w:div w:id="1744985078">
          <w:marLeft w:val="0"/>
          <w:marRight w:val="0"/>
          <w:marTop w:val="0"/>
          <w:marBottom w:val="0"/>
          <w:divBdr>
            <w:top w:val="none" w:sz="0" w:space="0" w:color="auto"/>
            <w:left w:val="none" w:sz="0" w:space="0" w:color="auto"/>
            <w:bottom w:val="none" w:sz="0" w:space="0" w:color="auto"/>
            <w:right w:val="none" w:sz="0" w:space="0" w:color="auto"/>
          </w:divBdr>
        </w:div>
      </w:divsChild>
    </w:div>
    <w:div w:id="1739133604">
      <w:bodyDiv w:val="1"/>
      <w:marLeft w:val="0"/>
      <w:marRight w:val="0"/>
      <w:marTop w:val="0"/>
      <w:marBottom w:val="0"/>
      <w:divBdr>
        <w:top w:val="none" w:sz="0" w:space="0" w:color="auto"/>
        <w:left w:val="none" w:sz="0" w:space="0" w:color="auto"/>
        <w:bottom w:val="none" w:sz="0" w:space="0" w:color="auto"/>
        <w:right w:val="none" w:sz="0" w:space="0" w:color="auto"/>
      </w:divBdr>
      <w:divsChild>
        <w:div w:id="676075191">
          <w:marLeft w:val="0"/>
          <w:marRight w:val="0"/>
          <w:marTop w:val="0"/>
          <w:marBottom w:val="0"/>
          <w:divBdr>
            <w:top w:val="none" w:sz="0" w:space="0" w:color="auto"/>
            <w:left w:val="none" w:sz="0" w:space="0" w:color="auto"/>
            <w:bottom w:val="none" w:sz="0" w:space="0" w:color="auto"/>
            <w:right w:val="none" w:sz="0" w:space="0" w:color="auto"/>
          </w:divBdr>
        </w:div>
        <w:div w:id="1093207205">
          <w:marLeft w:val="0"/>
          <w:marRight w:val="0"/>
          <w:marTop w:val="0"/>
          <w:marBottom w:val="0"/>
          <w:divBdr>
            <w:top w:val="none" w:sz="0" w:space="0" w:color="auto"/>
            <w:left w:val="none" w:sz="0" w:space="0" w:color="auto"/>
            <w:bottom w:val="none" w:sz="0" w:space="0" w:color="auto"/>
            <w:right w:val="none" w:sz="0" w:space="0" w:color="auto"/>
          </w:divBdr>
        </w:div>
      </w:divsChild>
    </w:div>
    <w:div w:id="194696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1219</Words>
  <Characters>7742</Characters>
  <Application>Microsoft Office Word</Application>
  <DocSecurity>0</DocSecurity>
  <Lines>64</Lines>
  <Paragraphs>17</Paragraphs>
  <ScaleCrop>false</ScaleCrop>
  <HeadingPairs>
    <vt:vector size="2" baseType="variant">
      <vt:variant>
        <vt:lpstr>Título</vt:lpstr>
      </vt:variant>
      <vt:variant>
        <vt:i4>1</vt:i4>
      </vt:variant>
    </vt:vector>
  </HeadingPairs>
  <TitlesOfParts>
    <vt:vector size="1" baseType="lpstr">
      <vt:lpstr/>
    </vt:vector>
  </TitlesOfParts>
  <Company>securitypost</Company>
  <LinksUpToDate>false</LinksUpToDate>
  <CharactersWithSpaces>8944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Jessica</cp:lastModifiedBy>
  <cp:revision>2</cp:revision>
  <cp:lastPrinted>2016-03-01T16:44:00Z</cp:lastPrinted>
  <dcterms:created xsi:type="dcterms:W3CDTF">2020-05-13T14:56:00Z</dcterms:created>
  <dcterms:modified xsi:type="dcterms:W3CDTF">2020-05-13T14:56:00Z</dcterms:modified>
</cp:coreProperties>
</file>